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C4D1" w14:textId="2A7C10D3" w:rsidR="006D4060" w:rsidRPr="005039D7" w:rsidRDefault="00B90117" w:rsidP="00600256">
      <w:pPr>
        <w:pStyle w:val="NormalWeb"/>
        <w:tabs>
          <w:tab w:val="left" w:pos="1418"/>
        </w:tabs>
        <w:spacing w:before="120" w:beforeAutospacing="0" w:after="0" w:afterAutospacing="0"/>
        <w:jc w:val="center"/>
        <w:rPr>
          <w:b/>
          <w:bCs/>
          <w:color w:val="000000"/>
          <w:sz w:val="22"/>
          <w:szCs w:val="22"/>
        </w:rPr>
      </w:pPr>
      <w:r>
        <w:rPr>
          <w:noProof/>
          <w:lang w:val="en-GB" w:eastAsia="en-GB"/>
        </w:rPr>
        <w:drawing>
          <wp:anchor distT="0" distB="0" distL="114300" distR="114300" simplePos="0" relativeHeight="251658240" behindDoc="1" locked="0" layoutInCell="1" allowOverlap="1" wp14:anchorId="1D31B31E" wp14:editId="24D506D2">
            <wp:simplePos x="0" y="0"/>
            <wp:positionH relativeFrom="margin">
              <wp:posOffset>2039340</wp:posOffset>
            </wp:positionH>
            <wp:positionV relativeFrom="paragraph">
              <wp:posOffset>254</wp:posOffset>
            </wp:positionV>
            <wp:extent cx="1725930" cy="2070100"/>
            <wp:effectExtent l="0" t="0" r="0" b="635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930" cy="207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602" w:rsidRPr="005039D7">
        <w:rPr>
          <w:b/>
          <w:bCs/>
          <w:color w:val="000000"/>
          <w:sz w:val="22"/>
          <w:szCs w:val="22"/>
        </w:rPr>
        <w:t>Engagement de l</w:t>
      </w:r>
      <w:r w:rsidR="00570944">
        <w:rPr>
          <w:b/>
          <w:bCs/>
          <w:color w:val="000000"/>
          <w:sz w:val="22"/>
          <w:szCs w:val="22"/>
        </w:rPr>
        <w:t>’</w:t>
      </w:r>
      <w:r w:rsidR="001B1602" w:rsidRPr="005039D7">
        <w:rPr>
          <w:b/>
          <w:bCs/>
          <w:color w:val="000000"/>
          <w:sz w:val="22"/>
          <w:szCs w:val="22"/>
        </w:rPr>
        <w:t>Afrique de l</w:t>
      </w:r>
      <w:r w:rsidR="00570944">
        <w:rPr>
          <w:b/>
          <w:bCs/>
          <w:color w:val="000000"/>
          <w:sz w:val="22"/>
          <w:szCs w:val="22"/>
        </w:rPr>
        <w:t>’</w:t>
      </w:r>
      <w:r w:rsidR="001B1602" w:rsidRPr="005039D7">
        <w:rPr>
          <w:b/>
          <w:bCs/>
          <w:color w:val="000000"/>
          <w:sz w:val="22"/>
          <w:szCs w:val="22"/>
        </w:rPr>
        <w:t xml:space="preserve">Ouest et du Centre </w:t>
      </w:r>
    </w:p>
    <w:p w14:paraId="768A24F0" w14:textId="0A1B93D3" w:rsidR="001B1602" w:rsidRPr="005039D7" w:rsidRDefault="001B1602" w:rsidP="007426C3">
      <w:pPr>
        <w:pStyle w:val="NormalWeb"/>
        <w:spacing w:before="120" w:beforeAutospacing="0" w:after="0" w:afterAutospacing="0"/>
        <w:jc w:val="center"/>
        <w:rPr>
          <w:b/>
          <w:bCs/>
          <w:color w:val="000000"/>
          <w:sz w:val="22"/>
          <w:szCs w:val="22"/>
        </w:rPr>
      </w:pPr>
      <w:r w:rsidRPr="005039D7">
        <w:rPr>
          <w:b/>
          <w:bCs/>
          <w:color w:val="000000"/>
          <w:sz w:val="22"/>
          <w:szCs w:val="22"/>
        </w:rPr>
        <w:t>pour des adolescents et des jeunes éduqués, en bonne santé et épanouis</w:t>
      </w:r>
    </w:p>
    <w:p w14:paraId="2CB812BC" w14:textId="37C618E6" w:rsidR="001B1602" w:rsidRPr="005039D7" w:rsidRDefault="001B1602" w:rsidP="007426C3">
      <w:pPr>
        <w:pStyle w:val="NormalWeb"/>
        <w:spacing w:before="120" w:beforeAutospacing="0" w:after="0" w:afterAutospacing="0"/>
        <w:jc w:val="center"/>
        <w:rPr>
          <w:b/>
          <w:bCs/>
          <w:color w:val="000000"/>
          <w:sz w:val="22"/>
          <w:szCs w:val="22"/>
        </w:rPr>
      </w:pPr>
      <w:r w:rsidRPr="005039D7">
        <w:rPr>
          <w:b/>
          <w:bCs/>
          <w:color w:val="000000"/>
          <w:sz w:val="22"/>
          <w:szCs w:val="22"/>
        </w:rPr>
        <w:t>« Écouter, comprendre, agir »</w:t>
      </w:r>
    </w:p>
    <w:p w14:paraId="45B60E7E" w14:textId="57612086" w:rsidR="001B1602" w:rsidRDefault="001B1602" w:rsidP="007426C3">
      <w:pPr>
        <w:pStyle w:val="NormalWeb"/>
        <w:spacing w:before="120" w:beforeAutospacing="0" w:after="0" w:afterAutospacing="0"/>
        <w:rPr>
          <w:color w:val="000000"/>
          <w:sz w:val="22"/>
          <w:szCs w:val="22"/>
        </w:rPr>
      </w:pPr>
    </w:p>
    <w:p w14:paraId="3FDEF951" w14:textId="69C97169" w:rsidR="003E1AA4" w:rsidRDefault="008669D8" w:rsidP="007426C3">
      <w:pPr>
        <w:pStyle w:val="NormalWeb"/>
        <w:spacing w:before="120" w:beforeAutospacing="0" w:after="0" w:afterAutospacing="0"/>
        <w:jc w:val="center"/>
        <w:rPr>
          <w:i/>
          <w:iCs/>
          <w:color w:val="0070C0"/>
          <w:sz w:val="22"/>
          <w:szCs w:val="22"/>
        </w:rPr>
      </w:pPr>
      <w:r w:rsidRPr="003E1AA4">
        <w:rPr>
          <w:i/>
          <w:iCs/>
          <w:color w:val="0070C0"/>
          <w:sz w:val="22"/>
          <w:szCs w:val="22"/>
        </w:rPr>
        <w:t xml:space="preserve">Version </w:t>
      </w:r>
      <w:r w:rsidR="00B90117">
        <w:rPr>
          <w:i/>
          <w:iCs/>
          <w:color w:val="0070C0"/>
          <w:sz w:val="22"/>
          <w:szCs w:val="22"/>
        </w:rPr>
        <w:t>provisoire</w:t>
      </w:r>
      <w:r w:rsidRPr="003E1AA4">
        <w:rPr>
          <w:i/>
          <w:iCs/>
          <w:color w:val="0070C0"/>
          <w:sz w:val="22"/>
          <w:szCs w:val="22"/>
        </w:rPr>
        <w:t xml:space="preserve"> du </w:t>
      </w:r>
      <w:r w:rsidR="0088087B">
        <w:rPr>
          <w:i/>
          <w:iCs/>
          <w:color w:val="0070C0"/>
          <w:sz w:val="22"/>
          <w:szCs w:val="22"/>
        </w:rPr>
        <w:t>3</w:t>
      </w:r>
      <w:r w:rsidR="006C1760">
        <w:rPr>
          <w:i/>
          <w:iCs/>
          <w:color w:val="0070C0"/>
          <w:sz w:val="22"/>
          <w:szCs w:val="22"/>
        </w:rPr>
        <w:t xml:space="preserve"> </w:t>
      </w:r>
      <w:r w:rsidR="00570944">
        <w:rPr>
          <w:i/>
          <w:iCs/>
          <w:color w:val="0070C0"/>
          <w:sz w:val="22"/>
          <w:szCs w:val="22"/>
        </w:rPr>
        <w:t>septembre</w:t>
      </w:r>
      <w:r w:rsidR="0004484A">
        <w:rPr>
          <w:i/>
          <w:iCs/>
          <w:color w:val="0070C0"/>
          <w:sz w:val="22"/>
          <w:szCs w:val="22"/>
        </w:rPr>
        <w:t xml:space="preserve"> </w:t>
      </w:r>
      <w:r w:rsidRPr="003E1AA4">
        <w:rPr>
          <w:i/>
          <w:iCs/>
          <w:color w:val="0070C0"/>
          <w:sz w:val="22"/>
          <w:szCs w:val="22"/>
        </w:rPr>
        <w:t>2021</w:t>
      </w:r>
      <w:r w:rsidR="003E1AA4">
        <w:rPr>
          <w:i/>
          <w:iCs/>
          <w:color w:val="0070C0"/>
          <w:sz w:val="22"/>
          <w:szCs w:val="22"/>
        </w:rPr>
        <w:t>.</w:t>
      </w:r>
    </w:p>
    <w:p w14:paraId="6869175E" w14:textId="73C10BCC" w:rsidR="008669D8" w:rsidRPr="003E1AA4" w:rsidRDefault="003E1AA4">
      <w:pPr>
        <w:pStyle w:val="NormalWeb"/>
        <w:spacing w:before="120" w:beforeAutospacing="0" w:after="0" w:afterAutospacing="0"/>
        <w:rPr>
          <w:i/>
          <w:iCs/>
          <w:color w:val="0070C0"/>
          <w:sz w:val="22"/>
          <w:szCs w:val="22"/>
        </w:rPr>
      </w:pPr>
      <w:r>
        <w:rPr>
          <w:i/>
          <w:iCs/>
          <w:color w:val="0070C0"/>
          <w:sz w:val="22"/>
          <w:szCs w:val="22"/>
        </w:rPr>
        <w:t xml:space="preserve">Note interne : cette version </w:t>
      </w:r>
      <w:r w:rsidR="008669D8" w:rsidRPr="003E1AA4">
        <w:rPr>
          <w:i/>
          <w:iCs/>
          <w:color w:val="0070C0"/>
          <w:sz w:val="22"/>
          <w:szCs w:val="22"/>
        </w:rPr>
        <w:t xml:space="preserve">prend en compte les résultats des consultations nationales tenues </w:t>
      </w:r>
      <w:r w:rsidR="00432D19" w:rsidRPr="003E1AA4">
        <w:rPr>
          <w:i/>
          <w:iCs/>
          <w:color w:val="0070C0"/>
          <w:sz w:val="22"/>
          <w:szCs w:val="22"/>
        </w:rPr>
        <w:t xml:space="preserve">dans les </w:t>
      </w:r>
      <w:r w:rsidR="00570944">
        <w:rPr>
          <w:i/>
          <w:iCs/>
          <w:color w:val="0070C0"/>
          <w:sz w:val="22"/>
          <w:szCs w:val="22"/>
        </w:rPr>
        <w:t xml:space="preserve">12 </w:t>
      </w:r>
      <w:r w:rsidR="00432D19" w:rsidRPr="003E1AA4">
        <w:rPr>
          <w:i/>
          <w:iCs/>
          <w:color w:val="0070C0"/>
          <w:sz w:val="22"/>
          <w:szCs w:val="22"/>
        </w:rPr>
        <w:t>pays suivants</w:t>
      </w:r>
      <w:r w:rsidR="008669D8" w:rsidRPr="003E1AA4">
        <w:rPr>
          <w:i/>
          <w:iCs/>
          <w:color w:val="0070C0"/>
          <w:sz w:val="22"/>
          <w:szCs w:val="22"/>
        </w:rPr>
        <w:t xml:space="preserve"> : </w:t>
      </w:r>
      <w:r w:rsidR="00432D19" w:rsidRPr="003E1AA4">
        <w:rPr>
          <w:i/>
          <w:iCs/>
          <w:color w:val="0070C0"/>
          <w:sz w:val="22"/>
          <w:szCs w:val="22"/>
        </w:rPr>
        <w:t xml:space="preserve">Burundi, Cameroun, </w:t>
      </w:r>
      <w:r w:rsidR="0004484A">
        <w:rPr>
          <w:i/>
          <w:iCs/>
          <w:color w:val="0070C0"/>
          <w:sz w:val="22"/>
          <w:szCs w:val="22"/>
        </w:rPr>
        <w:t xml:space="preserve">Congo, </w:t>
      </w:r>
      <w:r w:rsidR="00432D19" w:rsidRPr="003E1AA4">
        <w:rPr>
          <w:i/>
          <w:iCs/>
          <w:color w:val="0070C0"/>
          <w:sz w:val="22"/>
          <w:szCs w:val="22"/>
        </w:rPr>
        <w:t>Côte d</w:t>
      </w:r>
      <w:r w:rsidR="00570944">
        <w:rPr>
          <w:i/>
          <w:iCs/>
          <w:color w:val="0070C0"/>
          <w:sz w:val="22"/>
          <w:szCs w:val="22"/>
        </w:rPr>
        <w:t>’</w:t>
      </w:r>
      <w:r w:rsidR="00432D19" w:rsidRPr="003E1AA4">
        <w:rPr>
          <w:i/>
          <w:iCs/>
          <w:color w:val="0070C0"/>
          <w:sz w:val="22"/>
          <w:szCs w:val="22"/>
        </w:rPr>
        <w:t xml:space="preserve">Ivoire, </w:t>
      </w:r>
      <w:r w:rsidR="0004484A">
        <w:rPr>
          <w:i/>
          <w:iCs/>
          <w:color w:val="0070C0"/>
          <w:sz w:val="22"/>
          <w:szCs w:val="22"/>
        </w:rPr>
        <w:t xml:space="preserve">Gabon, </w:t>
      </w:r>
      <w:r w:rsidR="00432D19" w:rsidRPr="003E1AA4">
        <w:rPr>
          <w:i/>
          <w:iCs/>
          <w:color w:val="0070C0"/>
          <w:sz w:val="22"/>
          <w:szCs w:val="22"/>
        </w:rPr>
        <w:t xml:space="preserve">Guinée, Libéria, Nigeria, </w:t>
      </w:r>
      <w:r w:rsidRPr="003E1AA4">
        <w:rPr>
          <w:i/>
          <w:iCs/>
          <w:color w:val="0070C0"/>
          <w:sz w:val="22"/>
          <w:szCs w:val="22"/>
        </w:rPr>
        <w:t>R</w:t>
      </w:r>
      <w:r w:rsidR="00570944">
        <w:rPr>
          <w:i/>
          <w:iCs/>
          <w:color w:val="0070C0"/>
          <w:sz w:val="22"/>
          <w:szCs w:val="22"/>
        </w:rPr>
        <w:t>épublique centrafricaine</w:t>
      </w:r>
      <w:r w:rsidRPr="003E1AA4">
        <w:rPr>
          <w:i/>
          <w:iCs/>
          <w:color w:val="0070C0"/>
          <w:sz w:val="22"/>
          <w:szCs w:val="22"/>
        </w:rPr>
        <w:t xml:space="preserve">, </w:t>
      </w:r>
      <w:r w:rsidR="00570944">
        <w:rPr>
          <w:i/>
          <w:iCs/>
          <w:color w:val="0070C0"/>
          <w:sz w:val="22"/>
          <w:szCs w:val="22"/>
        </w:rPr>
        <w:t>République démocratique du Congo, Togo</w:t>
      </w:r>
      <w:r w:rsidRPr="003E1AA4">
        <w:rPr>
          <w:i/>
          <w:iCs/>
          <w:color w:val="0070C0"/>
          <w:sz w:val="22"/>
          <w:szCs w:val="22"/>
        </w:rPr>
        <w:t xml:space="preserve"> et Tchad. </w:t>
      </w:r>
    </w:p>
    <w:p w14:paraId="40331709" w14:textId="047602C4" w:rsidR="001B1602" w:rsidRDefault="0029190C">
      <w:pPr>
        <w:pStyle w:val="NormalWeb"/>
        <w:rPr>
          <w:b/>
          <w:bCs/>
          <w:color w:val="000000"/>
          <w:sz w:val="22"/>
          <w:szCs w:val="22"/>
        </w:rPr>
      </w:pPr>
      <w:r w:rsidRPr="00D94555">
        <w:rPr>
          <w:b/>
          <w:bCs/>
          <w:color w:val="000000"/>
          <w:sz w:val="22"/>
          <w:szCs w:val="22"/>
        </w:rPr>
        <w:t xml:space="preserve">1. </w:t>
      </w:r>
      <w:r w:rsidR="00736FD3" w:rsidRPr="00D94555">
        <w:rPr>
          <w:b/>
          <w:bCs/>
          <w:color w:val="000000"/>
          <w:sz w:val="22"/>
          <w:szCs w:val="22"/>
        </w:rPr>
        <w:t>Préambule</w:t>
      </w:r>
    </w:p>
    <w:p w14:paraId="474CE9AC" w14:textId="64EBB88B" w:rsidR="006B0E33" w:rsidRPr="00040D06" w:rsidRDefault="00897813" w:rsidP="00040D06">
      <w:pPr>
        <w:spacing w:after="0" w:line="240" w:lineRule="auto"/>
        <w:ind w:firstLine="708"/>
        <w:jc w:val="both"/>
        <w:rPr>
          <w:rFonts w:ascii="Times New Roman" w:hAnsi="Times New Roman" w:cs="Times New Roman"/>
          <w:i/>
          <w:iCs/>
          <w:color w:val="000000"/>
        </w:rPr>
      </w:pPr>
      <w:r w:rsidRPr="00040D06">
        <w:rPr>
          <w:rFonts w:ascii="Times New Roman" w:eastAsia="Times New Roman" w:hAnsi="Times New Roman" w:cs="Times New Roman"/>
          <w:i/>
          <w:iCs/>
          <w:color w:val="000000"/>
          <w:sz w:val="24"/>
          <w:szCs w:val="24"/>
          <w:lang w:eastAsia="fr-FR"/>
        </w:rPr>
        <w:t xml:space="preserve">Nous, </w:t>
      </w:r>
      <w:r w:rsidR="007B27F9" w:rsidRPr="00040D06">
        <w:rPr>
          <w:rFonts w:ascii="Times New Roman" w:hAnsi="Times New Roman" w:cs="Times New Roman"/>
          <w:i/>
          <w:iCs/>
          <w:color w:val="000000"/>
        </w:rPr>
        <w:t>Ministres de l</w:t>
      </w:r>
      <w:r w:rsidR="00570944">
        <w:rPr>
          <w:rFonts w:ascii="Times New Roman" w:hAnsi="Times New Roman" w:cs="Times New Roman"/>
          <w:i/>
          <w:iCs/>
          <w:color w:val="000000"/>
        </w:rPr>
        <w:t>’</w:t>
      </w:r>
      <w:r w:rsidR="007B27F9" w:rsidRPr="00040D06">
        <w:rPr>
          <w:rFonts w:ascii="Times New Roman" w:hAnsi="Times New Roman" w:cs="Times New Roman"/>
          <w:i/>
          <w:iCs/>
          <w:color w:val="000000"/>
        </w:rPr>
        <w:t xml:space="preserve">éducation et de la santé de </w:t>
      </w:r>
      <w:r w:rsidR="00EB2955">
        <w:rPr>
          <w:rFonts w:ascii="Times New Roman" w:hAnsi="Times New Roman" w:cs="Times New Roman"/>
          <w:i/>
          <w:iCs/>
          <w:color w:val="000000"/>
        </w:rPr>
        <w:t>…</w:t>
      </w:r>
      <w:r w:rsidR="007B27F9" w:rsidRPr="00040D06">
        <w:rPr>
          <w:rFonts w:ascii="Times New Roman" w:hAnsi="Times New Roman" w:cs="Times New Roman"/>
          <w:i/>
          <w:iCs/>
          <w:color w:val="000000"/>
        </w:rPr>
        <w:t xml:space="preserve"> pays d</w:t>
      </w:r>
      <w:r w:rsidR="00570944">
        <w:rPr>
          <w:rFonts w:ascii="Times New Roman" w:hAnsi="Times New Roman" w:cs="Times New Roman"/>
          <w:i/>
          <w:iCs/>
          <w:color w:val="000000"/>
        </w:rPr>
        <w:t>’</w:t>
      </w:r>
      <w:r w:rsidR="007B27F9" w:rsidRPr="00040D06">
        <w:rPr>
          <w:rFonts w:ascii="Times New Roman" w:hAnsi="Times New Roman" w:cs="Times New Roman"/>
          <w:i/>
          <w:iCs/>
          <w:color w:val="000000"/>
        </w:rPr>
        <w:t>Afrique de l</w:t>
      </w:r>
      <w:r w:rsidR="00570944">
        <w:rPr>
          <w:rFonts w:ascii="Times New Roman" w:hAnsi="Times New Roman" w:cs="Times New Roman"/>
          <w:i/>
          <w:iCs/>
          <w:color w:val="000000"/>
        </w:rPr>
        <w:t>’</w:t>
      </w:r>
      <w:r w:rsidR="007B27F9" w:rsidRPr="00040D06">
        <w:rPr>
          <w:rFonts w:ascii="Times New Roman" w:hAnsi="Times New Roman" w:cs="Times New Roman"/>
          <w:i/>
          <w:iCs/>
          <w:color w:val="000000"/>
        </w:rPr>
        <w:t xml:space="preserve">Ouest et du Centre, réunis à </w:t>
      </w:r>
      <w:r w:rsidR="00EB2955">
        <w:rPr>
          <w:rFonts w:ascii="Times New Roman" w:hAnsi="Times New Roman" w:cs="Times New Roman"/>
          <w:i/>
          <w:iCs/>
          <w:color w:val="000000"/>
        </w:rPr>
        <w:t>…</w:t>
      </w:r>
      <w:r w:rsidR="007B27F9" w:rsidRPr="00040D06">
        <w:rPr>
          <w:rFonts w:ascii="Times New Roman" w:hAnsi="Times New Roman" w:cs="Times New Roman"/>
          <w:i/>
          <w:iCs/>
          <w:color w:val="000000"/>
        </w:rPr>
        <w:t xml:space="preserve"> le </w:t>
      </w:r>
      <w:r w:rsidR="00EB2955">
        <w:rPr>
          <w:rFonts w:ascii="Times New Roman" w:hAnsi="Times New Roman" w:cs="Times New Roman"/>
          <w:i/>
          <w:iCs/>
          <w:color w:val="000000"/>
        </w:rPr>
        <w:t>…</w:t>
      </w:r>
      <w:r w:rsidR="007B27F9" w:rsidRPr="00040D06">
        <w:rPr>
          <w:rFonts w:ascii="Times New Roman" w:hAnsi="Times New Roman" w:cs="Times New Roman"/>
          <w:i/>
          <w:iCs/>
          <w:color w:val="000000"/>
        </w:rPr>
        <w:t xml:space="preserve"> 2021, </w:t>
      </w:r>
    </w:p>
    <w:p w14:paraId="4BF0A5EC" w14:textId="6A1A372F" w:rsidR="008F25ED" w:rsidRDefault="008F25ED">
      <w:pPr>
        <w:spacing w:after="0" w:line="240" w:lineRule="auto"/>
        <w:jc w:val="both"/>
        <w:rPr>
          <w:rFonts w:ascii="Times New Roman" w:hAnsi="Times New Roman" w:cs="Times New Roman"/>
          <w:color w:val="000000"/>
        </w:rPr>
      </w:pPr>
    </w:p>
    <w:p w14:paraId="4795E38F" w14:textId="76F3FF8E" w:rsidR="00AA08EF" w:rsidRPr="00040D06" w:rsidRDefault="00AA08EF" w:rsidP="00040D06">
      <w:pPr>
        <w:spacing w:after="120"/>
        <w:ind w:firstLine="708"/>
        <w:jc w:val="both"/>
        <w:rPr>
          <w:rFonts w:ascii="Times New Roman" w:hAnsi="Times New Roman" w:cs="Times New Roman"/>
          <w:i/>
          <w:iCs/>
          <w:color w:val="000000"/>
        </w:rPr>
      </w:pPr>
      <w:r>
        <w:rPr>
          <w:rFonts w:ascii="Times New Roman" w:hAnsi="Times New Roman" w:cs="Times New Roman"/>
          <w:i/>
          <w:iCs/>
          <w:color w:val="000000"/>
        </w:rPr>
        <w:t>Rappelant</w:t>
      </w:r>
      <w:r w:rsidR="008F25ED" w:rsidRPr="00040D06">
        <w:rPr>
          <w:rFonts w:ascii="Times New Roman" w:hAnsi="Times New Roman" w:cs="Times New Roman"/>
          <w:i/>
          <w:iCs/>
          <w:color w:val="000000"/>
        </w:rPr>
        <w:t xml:space="preserve"> </w:t>
      </w:r>
      <w:r w:rsidR="008F25ED" w:rsidRPr="00040D06">
        <w:rPr>
          <w:rFonts w:ascii="Times New Roman" w:hAnsi="Times New Roman" w:cs="Times New Roman"/>
          <w:color w:val="000000"/>
        </w:rPr>
        <w:t xml:space="preserve">les engagements pris dans le cadre des </w:t>
      </w:r>
      <w:r>
        <w:rPr>
          <w:rFonts w:ascii="Times New Roman" w:hAnsi="Times New Roman" w:cs="Times New Roman"/>
          <w:color w:val="000000"/>
        </w:rPr>
        <w:t>o</w:t>
      </w:r>
      <w:r w:rsidR="008F25ED" w:rsidRPr="00040D06">
        <w:rPr>
          <w:rFonts w:ascii="Times New Roman" w:hAnsi="Times New Roman" w:cs="Times New Roman"/>
          <w:color w:val="000000"/>
        </w:rPr>
        <w:t xml:space="preserve">bjectifs de </w:t>
      </w:r>
      <w:r>
        <w:rPr>
          <w:rFonts w:ascii="Times New Roman" w:hAnsi="Times New Roman" w:cs="Times New Roman"/>
          <w:color w:val="000000"/>
        </w:rPr>
        <w:t>d</w:t>
      </w:r>
      <w:r w:rsidR="008F25ED" w:rsidRPr="00040D06">
        <w:rPr>
          <w:rFonts w:ascii="Times New Roman" w:hAnsi="Times New Roman" w:cs="Times New Roman"/>
          <w:color w:val="000000"/>
        </w:rPr>
        <w:t xml:space="preserve">éveloppement </w:t>
      </w:r>
      <w:r>
        <w:rPr>
          <w:rFonts w:ascii="Times New Roman" w:hAnsi="Times New Roman" w:cs="Times New Roman"/>
          <w:color w:val="000000"/>
        </w:rPr>
        <w:t>d</w:t>
      </w:r>
      <w:r w:rsidR="008F25ED" w:rsidRPr="00040D06">
        <w:rPr>
          <w:rFonts w:ascii="Times New Roman" w:hAnsi="Times New Roman" w:cs="Times New Roman"/>
          <w:color w:val="000000"/>
        </w:rPr>
        <w:t xml:space="preserve">urable, en particulier </w:t>
      </w:r>
      <w:r>
        <w:rPr>
          <w:rFonts w:ascii="Times New Roman" w:hAnsi="Times New Roman" w:cs="Times New Roman"/>
          <w:color w:val="000000"/>
        </w:rPr>
        <w:t>ceux</w:t>
      </w:r>
      <w:r w:rsidR="008F25ED" w:rsidRPr="00040D06">
        <w:rPr>
          <w:rFonts w:ascii="Times New Roman" w:hAnsi="Times New Roman" w:cs="Times New Roman"/>
          <w:color w:val="000000"/>
        </w:rPr>
        <w:t xml:space="preserve"> relatif</w:t>
      </w:r>
      <w:r>
        <w:rPr>
          <w:rFonts w:ascii="Times New Roman" w:hAnsi="Times New Roman" w:cs="Times New Roman"/>
          <w:color w:val="000000"/>
        </w:rPr>
        <w:t>s</w:t>
      </w:r>
      <w:r w:rsidR="008F25ED" w:rsidRPr="00040D06">
        <w:rPr>
          <w:rFonts w:ascii="Times New Roman" w:hAnsi="Times New Roman" w:cs="Times New Roman"/>
          <w:color w:val="000000"/>
        </w:rPr>
        <w:t xml:space="preserve"> à la santé et au bien-être, à l</w:t>
      </w:r>
      <w:r w:rsidR="00570944">
        <w:rPr>
          <w:rFonts w:ascii="Times New Roman" w:hAnsi="Times New Roman" w:cs="Times New Roman"/>
          <w:color w:val="000000"/>
        </w:rPr>
        <w:t>’</w:t>
      </w:r>
      <w:r w:rsidR="008F25ED" w:rsidRPr="00040D06">
        <w:rPr>
          <w:rFonts w:ascii="Times New Roman" w:hAnsi="Times New Roman" w:cs="Times New Roman"/>
          <w:color w:val="000000"/>
        </w:rPr>
        <w:t>éducation et à l</w:t>
      </w:r>
      <w:r w:rsidR="00570944">
        <w:rPr>
          <w:rFonts w:ascii="Times New Roman" w:hAnsi="Times New Roman" w:cs="Times New Roman"/>
          <w:color w:val="000000"/>
        </w:rPr>
        <w:t>’</w:t>
      </w:r>
      <w:r w:rsidR="008F25ED" w:rsidRPr="00040D06">
        <w:rPr>
          <w:rFonts w:ascii="Times New Roman" w:hAnsi="Times New Roman" w:cs="Times New Roman"/>
          <w:color w:val="000000"/>
        </w:rPr>
        <w:t>égalité de genre</w:t>
      </w:r>
      <w:r>
        <w:rPr>
          <w:rFonts w:ascii="Times New Roman" w:hAnsi="Times New Roman" w:cs="Times New Roman"/>
          <w:color w:val="000000"/>
        </w:rPr>
        <w:t> ;</w:t>
      </w:r>
    </w:p>
    <w:p w14:paraId="5C47D0FF" w14:textId="484E1638" w:rsidR="00AA08EF" w:rsidRPr="00AA08EF" w:rsidRDefault="00AA08EF" w:rsidP="00AA08EF">
      <w:pPr>
        <w:spacing w:after="120"/>
        <w:ind w:firstLine="708"/>
        <w:jc w:val="both"/>
        <w:rPr>
          <w:rFonts w:ascii="Times New Roman" w:hAnsi="Times New Roman" w:cs="Times New Roman"/>
          <w:color w:val="000000"/>
        </w:rPr>
      </w:pPr>
      <w:r>
        <w:rPr>
          <w:rFonts w:ascii="Times New Roman" w:hAnsi="Times New Roman" w:cs="Times New Roman"/>
          <w:i/>
          <w:iCs/>
          <w:color w:val="000000"/>
        </w:rPr>
        <w:t xml:space="preserve">Déterminés </w:t>
      </w:r>
      <w:r w:rsidRPr="00040D06">
        <w:rPr>
          <w:rFonts w:ascii="Times New Roman" w:hAnsi="Times New Roman" w:cs="Times New Roman"/>
          <w:color w:val="000000"/>
        </w:rPr>
        <w:t>à mettre en œuvre</w:t>
      </w:r>
      <w:r>
        <w:rPr>
          <w:rFonts w:ascii="Times New Roman" w:hAnsi="Times New Roman" w:cs="Times New Roman"/>
          <w:color w:val="000000"/>
        </w:rPr>
        <w:t xml:space="preserve"> l</w:t>
      </w:r>
      <w:r w:rsidR="00570944">
        <w:rPr>
          <w:rFonts w:ascii="Times New Roman" w:hAnsi="Times New Roman" w:cs="Times New Roman"/>
          <w:color w:val="000000"/>
        </w:rPr>
        <w:t>’</w:t>
      </w:r>
      <w:r>
        <w:rPr>
          <w:rFonts w:ascii="Times New Roman" w:hAnsi="Times New Roman" w:cs="Times New Roman"/>
          <w:color w:val="000000"/>
        </w:rPr>
        <w:t xml:space="preserve">Agenda 2063, </w:t>
      </w:r>
      <w:r w:rsidRPr="00AA08EF">
        <w:rPr>
          <w:rFonts w:ascii="Times New Roman" w:hAnsi="Times New Roman" w:cs="Times New Roman"/>
        </w:rPr>
        <w:t>la feuille de route de l</w:t>
      </w:r>
      <w:r w:rsidR="00570944">
        <w:rPr>
          <w:rFonts w:ascii="Times New Roman" w:hAnsi="Times New Roman" w:cs="Times New Roman"/>
        </w:rPr>
        <w:t>’</w:t>
      </w:r>
      <w:r w:rsidRPr="00AA08EF">
        <w:rPr>
          <w:rFonts w:ascii="Times New Roman" w:hAnsi="Times New Roman" w:cs="Times New Roman"/>
        </w:rPr>
        <w:t>Union africaine pour tirer pleinement profit du dividende démographique</w:t>
      </w:r>
      <w:r>
        <w:rPr>
          <w:rFonts w:ascii="Times New Roman" w:hAnsi="Times New Roman" w:cs="Times New Roman"/>
        </w:rPr>
        <w:t xml:space="preserve"> et </w:t>
      </w:r>
      <w:r w:rsidRPr="00AA08EF">
        <w:rPr>
          <w:rFonts w:ascii="Times New Roman" w:hAnsi="Times New Roman" w:cs="Times New Roman"/>
        </w:rPr>
        <w:t xml:space="preserve">la </w:t>
      </w:r>
      <w:r w:rsidR="00570944">
        <w:rPr>
          <w:rFonts w:ascii="Times New Roman" w:hAnsi="Times New Roman" w:cs="Times New Roman"/>
        </w:rPr>
        <w:t>S</w:t>
      </w:r>
      <w:r w:rsidRPr="00AA08EF">
        <w:rPr>
          <w:rFonts w:ascii="Times New Roman" w:hAnsi="Times New Roman" w:cs="Times New Roman"/>
        </w:rPr>
        <w:t>tratégie continentale d</w:t>
      </w:r>
      <w:r>
        <w:rPr>
          <w:rFonts w:ascii="Times New Roman" w:hAnsi="Times New Roman" w:cs="Times New Roman"/>
        </w:rPr>
        <w:t>e l</w:t>
      </w:r>
      <w:r w:rsidR="00570944">
        <w:rPr>
          <w:rFonts w:ascii="Times New Roman" w:hAnsi="Times New Roman" w:cs="Times New Roman"/>
        </w:rPr>
        <w:t>’</w:t>
      </w:r>
      <w:r w:rsidRPr="00AA08EF">
        <w:rPr>
          <w:rFonts w:ascii="Times New Roman" w:hAnsi="Times New Roman" w:cs="Times New Roman"/>
        </w:rPr>
        <w:t>éducation pour l</w:t>
      </w:r>
      <w:r w:rsidR="00570944">
        <w:rPr>
          <w:rFonts w:ascii="Times New Roman" w:hAnsi="Times New Roman" w:cs="Times New Roman"/>
        </w:rPr>
        <w:t>’</w:t>
      </w:r>
      <w:r w:rsidRPr="00AA08EF">
        <w:rPr>
          <w:rFonts w:ascii="Times New Roman" w:hAnsi="Times New Roman" w:cs="Times New Roman"/>
        </w:rPr>
        <w:t>Afrique ;</w:t>
      </w:r>
    </w:p>
    <w:p w14:paraId="7B6EA792" w14:textId="28C2242E" w:rsidR="00897813" w:rsidRPr="00040D06" w:rsidRDefault="00AA08EF" w:rsidP="00040D06">
      <w:pPr>
        <w:spacing w:after="120"/>
        <w:ind w:firstLine="708"/>
        <w:jc w:val="both"/>
        <w:rPr>
          <w:rFonts w:ascii="Times New Roman" w:hAnsi="Times New Roman" w:cs="Times New Roman"/>
          <w:i/>
          <w:iCs/>
          <w:color w:val="000000"/>
        </w:rPr>
      </w:pPr>
      <w:r w:rsidRPr="00040D06">
        <w:rPr>
          <w:rFonts w:ascii="Times New Roman" w:hAnsi="Times New Roman" w:cs="Times New Roman"/>
          <w:i/>
          <w:iCs/>
        </w:rPr>
        <w:t>Réaffirmant</w:t>
      </w:r>
      <w:r w:rsidRPr="00040D06">
        <w:rPr>
          <w:rFonts w:ascii="Times New Roman" w:hAnsi="Times New Roman" w:cs="Times New Roman"/>
        </w:rPr>
        <w:t xml:space="preserve"> les droits et principes consacrés dans le </w:t>
      </w:r>
      <w:r w:rsidRPr="00AA08EF">
        <w:rPr>
          <w:rFonts w:ascii="Times New Roman" w:hAnsi="Times New Roman" w:cs="Times New Roman"/>
        </w:rPr>
        <w:t>Pacte international relatif aux droits économiques, sociaux et culturels, la Convention sur l</w:t>
      </w:r>
      <w:r w:rsidR="00570944">
        <w:rPr>
          <w:rFonts w:ascii="Times New Roman" w:hAnsi="Times New Roman" w:cs="Times New Roman"/>
        </w:rPr>
        <w:t>’</w:t>
      </w:r>
      <w:r w:rsidRPr="00AA08EF">
        <w:rPr>
          <w:rFonts w:ascii="Times New Roman" w:hAnsi="Times New Roman" w:cs="Times New Roman"/>
        </w:rPr>
        <w:t>élimination de toutes les formes de discrimination à l</w:t>
      </w:r>
      <w:r w:rsidR="00570944">
        <w:rPr>
          <w:rFonts w:ascii="Times New Roman" w:hAnsi="Times New Roman" w:cs="Times New Roman"/>
        </w:rPr>
        <w:t>’</w:t>
      </w:r>
      <w:r w:rsidRPr="00AA08EF">
        <w:rPr>
          <w:rFonts w:ascii="Times New Roman" w:hAnsi="Times New Roman" w:cs="Times New Roman"/>
        </w:rPr>
        <w:t>égard des femmes, la Convention internationale relative aux droits de l</w:t>
      </w:r>
      <w:r w:rsidR="00570944">
        <w:rPr>
          <w:rFonts w:ascii="Times New Roman" w:hAnsi="Times New Roman" w:cs="Times New Roman"/>
        </w:rPr>
        <w:t>’</w:t>
      </w:r>
      <w:r w:rsidRPr="00AA08EF">
        <w:rPr>
          <w:rFonts w:ascii="Times New Roman" w:hAnsi="Times New Roman" w:cs="Times New Roman"/>
        </w:rPr>
        <w:t>enfant, la Charte africaine des droits de l</w:t>
      </w:r>
      <w:r w:rsidR="00570944">
        <w:rPr>
          <w:rFonts w:ascii="Times New Roman" w:hAnsi="Times New Roman" w:cs="Times New Roman"/>
        </w:rPr>
        <w:t>’</w:t>
      </w:r>
      <w:r w:rsidRPr="00AA08EF">
        <w:rPr>
          <w:rFonts w:ascii="Times New Roman" w:hAnsi="Times New Roman" w:cs="Times New Roman"/>
        </w:rPr>
        <w:t>homme et des peuples, la Charte africaine des droits et du bien-être de l</w:t>
      </w:r>
      <w:r w:rsidR="00570944">
        <w:rPr>
          <w:rFonts w:ascii="Times New Roman" w:hAnsi="Times New Roman" w:cs="Times New Roman"/>
        </w:rPr>
        <w:t>’</w:t>
      </w:r>
      <w:r w:rsidRPr="00AA08EF">
        <w:rPr>
          <w:rFonts w:ascii="Times New Roman" w:hAnsi="Times New Roman" w:cs="Times New Roman"/>
        </w:rPr>
        <w:t>enfant, le Protocole à la Charte africaine des droits de l</w:t>
      </w:r>
      <w:r w:rsidR="00570944">
        <w:rPr>
          <w:rFonts w:ascii="Times New Roman" w:hAnsi="Times New Roman" w:cs="Times New Roman"/>
        </w:rPr>
        <w:t>’</w:t>
      </w:r>
      <w:r w:rsidRPr="00AA08EF">
        <w:rPr>
          <w:rFonts w:ascii="Times New Roman" w:hAnsi="Times New Roman" w:cs="Times New Roman"/>
        </w:rPr>
        <w:t>homme et des peuples relatif aux droits des femmes</w:t>
      </w:r>
      <w:r>
        <w:rPr>
          <w:rFonts w:ascii="Times New Roman" w:hAnsi="Times New Roman" w:cs="Times New Roman"/>
        </w:rPr>
        <w:t xml:space="preserve">, </w:t>
      </w:r>
      <w:r w:rsidRPr="00AA08EF">
        <w:rPr>
          <w:rFonts w:ascii="Times New Roman" w:hAnsi="Times New Roman" w:cs="Times New Roman"/>
        </w:rPr>
        <w:t xml:space="preserve">et les autres instruments </w:t>
      </w:r>
      <w:r w:rsidR="00570944">
        <w:rPr>
          <w:rFonts w:ascii="Times New Roman" w:hAnsi="Times New Roman" w:cs="Times New Roman"/>
        </w:rPr>
        <w:t>normatifs</w:t>
      </w:r>
      <w:r w:rsidRPr="00AA08EF">
        <w:rPr>
          <w:rFonts w:ascii="Times New Roman" w:hAnsi="Times New Roman" w:cs="Times New Roman"/>
        </w:rPr>
        <w:t xml:space="preserve"> pertinents ;</w:t>
      </w:r>
    </w:p>
    <w:p w14:paraId="16FDD3B9" w14:textId="7E48B1CA" w:rsidR="00AA08EF" w:rsidRPr="00A73918" w:rsidRDefault="00AA08EF" w:rsidP="00AA08EF">
      <w:pPr>
        <w:spacing w:after="120"/>
        <w:ind w:firstLine="708"/>
        <w:jc w:val="both"/>
        <w:rPr>
          <w:rFonts w:ascii="Times New Roman" w:hAnsi="Times New Roman" w:cs="Times New Roman"/>
        </w:rPr>
      </w:pPr>
      <w:r w:rsidRPr="00A73918">
        <w:rPr>
          <w:rFonts w:ascii="Times New Roman" w:hAnsi="Times New Roman" w:cs="Times New Roman"/>
          <w:i/>
          <w:iCs/>
        </w:rPr>
        <w:t>Réaffirmant</w:t>
      </w:r>
      <w:r w:rsidRPr="006C1760">
        <w:rPr>
          <w:rFonts w:ascii="Times New Roman" w:hAnsi="Times New Roman" w:cs="Times New Roman"/>
        </w:rPr>
        <w:t xml:space="preserve"> le droit de tout être humain de jouir du meilleur état de santé</w:t>
      </w:r>
      <w:r w:rsidRPr="00A73918">
        <w:rPr>
          <w:rFonts w:ascii="Times New Roman" w:hAnsi="Times New Roman" w:cs="Times New Roman"/>
        </w:rPr>
        <w:t xml:space="preserve"> physique et mentale possible, y compris la santé sexuelle et </w:t>
      </w:r>
      <w:r w:rsidR="000542BD">
        <w:rPr>
          <w:rFonts w:ascii="Times New Roman" w:hAnsi="Times New Roman" w:cs="Times New Roman"/>
        </w:rPr>
        <w:t>reproductive</w:t>
      </w:r>
      <w:r w:rsidRPr="00A73918">
        <w:rPr>
          <w:rFonts w:ascii="Times New Roman" w:hAnsi="Times New Roman" w:cs="Times New Roman"/>
        </w:rPr>
        <w:t>, et du droit à l</w:t>
      </w:r>
      <w:r w:rsidR="00570944">
        <w:rPr>
          <w:rFonts w:ascii="Times New Roman" w:hAnsi="Times New Roman" w:cs="Times New Roman"/>
        </w:rPr>
        <w:t>’</w:t>
      </w:r>
      <w:r w:rsidRPr="00A73918">
        <w:rPr>
          <w:rFonts w:ascii="Times New Roman" w:hAnsi="Times New Roman" w:cs="Times New Roman"/>
        </w:rPr>
        <w:t>éducation</w:t>
      </w:r>
      <w:r w:rsidRPr="00A73918">
        <w:rPr>
          <w:rFonts w:ascii="Times New Roman" w:hAnsi="Times New Roman" w:cs="Times New Roman"/>
          <w:b/>
          <w:bCs/>
        </w:rPr>
        <w:t> </w:t>
      </w:r>
      <w:r w:rsidRPr="00A73918">
        <w:rPr>
          <w:rFonts w:ascii="Times New Roman" w:hAnsi="Times New Roman" w:cs="Times New Roman"/>
        </w:rPr>
        <w:t>et considérant qu</w:t>
      </w:r>
      <w:r w:rsidR="00570944">
        <w:rPr>
          <w:rFonts w:ascii="Times New Roman" w:hAnsi="Times New Roman" w:cs="Times New Roman"/>
        </w:rPr>
        <w:t>’</w:t>
      </w:r>
      <w:r w:rsidRPr="00A73918">
        <w:rPr>
          <w:rFonts w:ascii="Times New Roman" w:hAnsi="Times New Roman" w:cs="Times New Roman"/>
        </w:rPr>
        <w:t>il est essentiel de renforcer la capacité</w:t>
      </w:r>
      <w:r>
        <w:rPr>
          <w:rFonts w:ascii="Times New Roman" w:hAnsi="Times New Roman" w:cs="Times New Roman"/>
        </w:rPr>
        <w:t xml:space="preserve"> des adolescents et des jeunes</w:t>
      </w:r>
      <w:r w:rsidRPr="00A73918">
        <w:rPr>
          <w:rFonts w:ascii="Times New Roman" w:hAnsi="Times New Roman" w:cs="Times New Roman"/>
        </w:rPr>
        <w:t xml:space="preserve"> à faire des choix éclairés et à adopter des comportements </w:t>
      </w:r>
      <w:r w:rsidR="003C39EA">
        <w:rPr>
          <w:rFonts w:ascii="Times New Roman" w:hAnsi="Times New Roman" w:cs="Times New Roman"/>
        </w:rPr>
        <w:t>sains</w:t>
      </w:r>
      <w:r w:rsidRPr="00A73918">
        <w:rPr>
          <w:rFonts w:ascii="Times New Roman" w:hAnsi="Times New Roman" w:cs="Times New Roman"/>
        </w:rPr>
        <w:t xml:space="preserve"> en </w:t>
      </w:r>
      <w:r w:rsidR="00975136">
        <w:rPr>
          <w:rFonts w:ascii="Times New Roman" w:hAnsi="Times New Roman" w:cs="Times New Roman"/>
        </w:rPr>
        <w:t>matière</w:t>
      </w:r>
      <w:r w:rsidRPr="00A73918">
        <w:rPr>
          <w:rFonts w:ascii="Times New Roman" w:hAnsi="Times New Roman" w:cs="Times New Roman"/>
        </w:rPr>
        <w:t xml:space="preserve"> de santé sexuelle et reproductive</w:t>
      </w:r>
      <w:r>
        <w:rPr>
          <w:rFonts w:ascii="Times New Roman" w:hAnsi="Times New Roman" w:cs="Times New Roman"/>
        </w:rPr>
        <w:t> ;</w:t>
      </w:r>
    </w:p>
    <w:p w14:paraId="6FE08718" w14:textId="200AD093" w:rsidR="007C6071" w:rsidRPr="00040D06" w:rsidRDefault="00AA08EF" w:rsidP="00040D06">
      <w:pPr>
        <w:spacing w:after="120"/>
        <w:jc w:val="both"/>
        <w:rPr>
          <w:rFonts w:ascii="Times New Roman" w:hAnsi="Times New Roman" w:cs="Times New Roman"/>
          <w:color w:val="000000"/>
        </w:rPr>
      </w:pPr>
      <w:r>
        <w:rPr>
          <w:rFonts w:ascii="Times New Roman" w:hAnsi="Times New Roman" w:cs="Times New Roman"/>
          <w:color w:val="1F4E79"/>
          <w:sz w:val="24"/>
          <w:szCs w:val="24"/>
        </w:rPr>
        <w:tab/>
      </w:r>
      <w:r w:rsidR="006D3EB0">
        <w:rPr>
          <w:rFonts w:ascii="Times New Roman" w:hAnsi="Times New Roman" w:cs="Times New Roman"/>
          <w:i/>
          <w:iCs/>
          <w:color w:val="000000"/>
        </w:rPr>
        <w:t>Convaincus</w:t>
      </w:r>
      <w:r w:rsidR="008F25ED" w:rsidRPr="00040D06">
        <w:rPr>
          <w:rFonts w:ascii="Times New Roman" w:hAnsi="Times New Roman" w:cs="Times New Roman"/>
          <w:color w:val="000000"/>
        </w:rPr>
        <w:t xml:space="preserve"> que l</w:t>
      </w:r>
      <w:r w:rsidR="00F31CA9" w:rsidRPr="00040D06">
        <w:rPr>
          <w:rFonts w:ascii="Times New Roman" w:hAnsi="Times New Roman" w:cs="Times New Roman"/>
          <w:color w:val="000000"/>
        </w:rPr>
        <w:t xml:space="preserve">es adolescents et les jeunes </w:t>
      </w:r>
      <w:r w:rsidR="00BA1C6B">
        <w:rPr>
          <w:rFonts w:ascii="Times New Roman" w:hAnsi="Times New Roman" w:cs="Times New Roman"/>
          <w:color w:val="000000"/>
        </w:rPr>
        <w:t>constituent</w:t>
      </w:r>
      <w:r w:rsidR="00F31CA9" w:rsidRPr="00040D06">
        <w:rPr>
          <w:rFonts w:ascii="Times New Roman" w:hAnsi="Times New Roman" w:cs="Times New Roman"/>
          <w:color w:val="000000"/>
        </w:rPr>
        <w:t xml:space="preserve"> un moteur </w:t>
      </w:r>
      <w:r w:rsidR="00BA1C6B">
        <w:rPr>
          <w:rFonts w:ascii="Times New Roman" w:hAnsi="Times New Roman" w:cs="Times New Roman"/>
          <w:color w:val="000000"/>
        </w:rPr>
        <w:t>pour le</w:t>
      </w:r>
      <w:r w:rsidR="00F31CA9" w:rsidRPr="00040D06">
        <w:rPr>
          <w:rFonts w:ascii="Times New Roman" w:hAnsi="Times New Roman" w:cs="Times New Roman"/>
          <w:color w:val="000000"/>
        </w:rPr>
        <w:t xml:space="preserve"> progrès économique et social de la région et </w:t>
      </w:r>
      <w:r w:rsidR="008F25ED" w:rsidRPr="00040D06">
        <w:rPr>
          <w:rFonts w:ascii="Times New Roman" w:hAnsi="Times New Roman" w:cs="Times New Roman"/>
          <w:color w:val="000000"/>
        </w:rPr>
        <w:t>qu</w:t>
      </w:r>
      <w:r w:rsidR="00570944">
        <w:rPr>
          <w:rFonts w:ascii="Times New Roman" w:hAnsi="Times New Roman" w:cs="Times New Roman"/>
          <w:color w:val="000000"/>
        </w:rPr>
        <w:t>’</w:t>
      </w:r>
      <w:r w:rsidR="00F31CA9" w:rsidRPr="00040D06">
        <w:rPr>
          <w:rFonts w:ascii="Times New Roman" w:hAnsi="Times New Roman" w:cs="Times New Roman"/>
          <w:color w:val="000000"/>
        </w:rPr>
        <w:t xml:space="preserve">ils ont le potentiel de transformer </w:t>
      </w:r>
      <w:r w:rsidR="0065352B" w:rsidRPr="00040D06">
        <w:rPr>
          <w:rFonts w:ascii="Times New Roman" w:hAnsi="Times New Roman" w:cs="Times New Roman"/>
          <w:color w:val="000000"/>
        </w:rPr>
        <w:t xml:space="preserve">leurs </w:t>
      </w:r>
      <w:r w:rsidR="008F25ED" w:rsidRPr="00040D06">
        <w:rPr>
          <w:rFonts w:ascii="Times New Roman" w:hAnsi="Times New Roman" w:cs="Times New Roman"/>
          <w:color w:val="000000"/>
        </w:rPr>
        <w:t>communautés, et qu</w:t>
      </w:r>
      <w:r w:rsidR="00570944">
        <w:rPr>
          <w:rFonts w:ascii="Times New Roman" w:hAnsi="Times New Roman" w:cs="Times New Roman"/>
          <w:color w:val="000000"/>
        </w:rPr>
        <w:t>’</w:t>
      </w:r>
      <w:r>
        <w:rPr>
          <w:rFonts w:ascii="Times New Roman" w:hAnsi="Times New Roman" w:cs="Times New Roman"/>
          <w:color w:val="000000"/>
        </w:rPr>
        <w:t xml:space="preserve">une </w:t>
      </w:r>
      <w:r w:rsidR="00F31CA9" w:rsidRPr="00040D06">
        <w:rPr>
          <w:rFonts w:ascii="Times New Roman" w:hAnsi="Times New Roman" w:cs="Times New Roman"/>
          <w:color w:val="000000"/>
        </w:rPr>
        <w:t xml:space="preserve">vision </w:t>
      </w:r>
      <w:r w:rsidR="008F25ED" w:rsidRPr="00040D06">
        <w:rPr>
          <w:rFonts w:ascii="Times New Roman" w:hAnsi="Times New Roman" w:cs="Times New Roman"/>
          <w:color w:val="000000"/>
        </w:rPr>
        <w:t>commune en faveur d</w:t>
      </w:r>
      <w:r w:rsidR="00570944">
        <w:rPr>
          <w:rFonts w:ascii="Times New Roman" w:hAnsi="Times New Roman" w:cs="Times New Roman"/>
          <w:color w:val="000000"/>
        </w:rPr>
        <w:t>’</w:t>
      </w:r>
      <w:r w:rsidR="00F31CA9" w:rsidRPr="00040D06">
        <w:rPr>
          <w:rFonts w:ascii="Times New Roman" w:hAnsi="Times New Roman"/>
          <w:color w:val="000000"/>
        </w:rPr>
        <w:t>adolescent</w:t>
      </w:r>
      <w:r w:rsidR="00F31CA9" w:rsidRPr="00040D06">
        <w:rPr>
          <w:rFonts w:ascii="Times New Roman" w:hAnsi="Times New Roman" w:cs="Times New Roman"/>
          <w:color w:val="000000"/>
        </w:rPr>
        <w:t>s et jeunes éduqués, en bonne santé et épanouis participe à renforcer leur autonomisation, leur accès à des opportunités de formation</w:t>
      </w:r>
      <w:r>
        <w:rPr>
          <w:rFonts w:ascii="Times New Roman" w:hAnsi="Times New Roman" w:cs="Times New Roman"/>
          <w:color w:val="000000"/>
        </w:rPr>
        <w:t xml:space="preserve"> et</w:t>
      </w:r>
      <w:r w:rsidRPr="00040D06">
        <w:rPr>
          <w:rFonts w:ascii="Times New Roman" w:hAnsi="Times New Roman" w:cs="Times New Roman"/>
          <w:color w:val="000000"/>
        </w:rPr>
        <w:t xml:space="preserve"> </w:t>
      </w:r>
      <w:r w:rsidR="00F31CA9" w:rsidRPr="00040D06">
        <w:rPr>
          <w:rFonts w:ascii="Times New Roman" w:hAnsi="Times New Roman" w:cs="Times New Roman"/>
          <w:color w:val="000000"/>
        </w:rPr>
        <w:t>de travail décent, et plus largement, leur participation au développement économique et social de la région</w:t>
      </w:r>
      <w:r w:rsidR="000A7FF3">
        <w:rPr>
          <w:rFonts w:ascii="Times New Roman" w:hAnsi="Times New Roman" w:cs="Times New Roman"/>
          <w:color w:val="000000"/>
        </w:rPr>
        <w:t> ;</w:t>
      </w:r>
    </w:p>
    <w:p w14:paraId="1D86AEEB" w14:textId="3625D823" w:rsidR="002E6063" w:rsidRPr="00040D06" w:rsidRDefault="007C6071" w:rsidP="00040D06">
      <w:pPr>
        <w:jc w:val="both"/>
        <w:rPr>
          <w:rFonts w:ascii="Times New Roman" w:hAnsi="Times New Roman" w:cs="Times New Roman"/>
        </w:rPr>
      </w:pPr>
      <w:r>
        <w:rPr>
          <w:rFonts w:ascii="Times New Roman" w:hAnsi="Times New Roman" w:cs="Times New Roman"/>
        </w:rPr>
        <w:lastRenderedPageBreak/>
        <w:tab/>
      </w:r>
      <w:r w:rsidRPr="00040D06">
        <w:rPr>
          <w:rFonts w:ascii="Times New Roman" w:hAnsi="Times New Roman" w:cs="Times New Roman"/>
          <w:i/>
          <w:iCs/>
        </w:rPr>
        <w:t>Considérant</w:t>
      </w:r>
      <w:r>
        <w:rPr>
          <w:rFonts w:ascii="Times New Roman" w:hAnsi="Times New Roman" w:cs="Times New Roman"/>
        </w:rPr>
        <w:t xml:space="preserve"> que dans le cadre </w:t>
      </w:r>
      <w:r w:rsidRPr="006C1760">
        <w:rPr>
          <w:rFonts w:ascii="Times New Roman" w:hAnsi="Times New Roman" w:cs="Times New Roman"/>
        </w:rPr>
        <w:t>de cette vision commune, l</w:t>
      </w:r>
      <w:r w:rsidR="002E6063" w:rsidRPr="00040D06">
        <w:rPr>
          <w:rFonts w:ascii="Times New Roman" w:hAnsi="Times New Roman" w:cs="Times New Roman"/>
        </w:rPr>
        <w:t>es</w:t>
      </w:r>
      <w:r w:rsidR="004D2376" w:rsidRPr="00040D06">
        <w:rPr>
          <w:rFonts w:ascii="Times New Roman" w:hAnsi="Times New Roman" w:cs="Times New Roman"/>
        </w:rPr>
        <w:t xml:space="preserve"> termes </w:t>
      </w:r>
      <w:r w:rsidR="00A56C1B" w:rsidRPr="00040D06">
        <w:rPr>
          <w:rFonts w:ascii="Times New Roman" w:hAnsi="Times New Roman" w:cs="Times New Roman"/>
        </w:rPr>
        <w:t>« </w:t>
      </w:r>
      <w:r w:rsidR="004D2376" w:rsidRPr="00040D06">
        <w:rPr>
          <w:rFonts w:ascii="Times New Roman" w:hAnsi="Times New Roman" w:cs="Times New Roman"/>
          <w:i/>
          <w:iCs/>
        </w:rPr>
        <w:t>adolescents</w:t>
      </w:r>
      <w:r w:rsidR="00A56C1B" w:rsidRPr="00040D06">
        <w:rPr>
          <w:rFonts w:ascii="Times New Roman" w:hAnsi="Times New Roman" w:cs="Times New Roman"/>
        </w:rPr>
        <w:t> »</w:t>
      </w:r>
      <w:r w:rsidR="004D2376" w:rsidRPr="00040D06">
        <w:rPr>
          <w:rFonts w:ascii="Times New Roman" w:hAnsi="Times New Roman" w:cs="Times New Roman"/>
        </w:rPr>
        <w:t xml:space="preserve"> et </w:t>
      </w:r>
      <w:r w:rsidR="00A56C1B" w:rsidRPr="00040D06">
        <w:rPr>
          <w:rFonts w:ascii="Times New Roman" w:hAnsi="Times New Roman" w:cs="Times New Roman"/>
        </w:rPr>
        <w:t>« </w:t>
      </w:r>
      <w:r w:rsidR="004D2376" w:rsidRPr="00040D06">
        <w:rPr>
          <w:rFonts w:ascii="Times New Roman" w:hAnsi="Times New Roman" w:cs="Times New Roman"/>
          <w:i/>
          <w:iCs/>
        </w:rPr>
        <w:t>jeunes</w:t>
      </w:r>
      <w:r w:rsidR="00A56C1B" w:rsidRPr="00040D06">
        <w:rPr>
          <w:rFonts w:ascii="Times New Roman" w:hAnsi="Times New Roman" w:cs="Times New Roman"/>
        </w:rPr>
        <w:t> »</w:t>
      </w:r>
      <w:r w:rsidR="004D2376" w:rsidRPr="00040D06">
        <w:rPr>
          <w:rFonts w:ascii="Times New Roman" w:hAnsi="Times New Roman" w:cs="Times New Roman"/>
        </w:rPr>
        <w:t xml:space="preserve"> </w:t>
      </w:r>
      <w:r w:rsidR="00F675A7" w:rsidRPr="00040D06">
        <w:rPr>
          <w:rFonts w:ascii="Times New Roman" w:hAnsi="Times New Roman" w:cs="Times New Roman"/>
        </w:rPr>
        <w:t>désigne</w:t>
      </w:r>
      <w:r w:rsidR="00A56C1B" w:rsidRPr="00040D06">
        <w:rPr>
          <w:rFonts w:ascii="Times New Roman" w:hAnsi="Times New Roman" w:cs="Times New Roman"/>
        </w:rPr>
        <w:t>nt</w:t>
      </w:r>
      <w:r w:rsidR="004D2376" w:rsidRPr="00040D06">
        <w:rPr>
          <w:rFonts w:ascii="Times New Roman" w:hAnsi="Times New Roman" w:cs="Times New Roman"/>
        </w:rPr>
        <w:t xml:space="preserve"> </w:t>
      </w:r>
      <w:r w:rsidR="00F675A7" w:rsidRPr="00040D06">
        <w:rPr>
          <w:rFonts w:ascii="Times New Roman" w:hAnsi="Times New Roman" w:cs="Times New Roman"/>
        </w:rPr>
        <w:t xml:space="preserve">les </w:t>
      </w:r>
      <w:r w:rsidR="002E6063" w:rsidRPr="00040D06">
        <w:rPr>
          <w:rFonts w:ascii="Times New Roman" w:hAnsi="Times New Roman" w:cs="Times New Roman"/>
        </w:rPr>
        <w:t>filles et garçons, jeunes femmes et hommes</w:t>
      </w:r>
      <w:r w:rsidR="00A56C1B" w:rsidRPr="00040D06">
        <w:rPr>
          <w:rFonts w:ascii="Times New Roman" w:hAnsi="Times New Roman" w:cs="Times New Roman"/>
        </w:rPr>
        <w:t xml:space="preserve"> du continent</w:t>
      </w:r>
      <w:r w:rsidR="00BA1C6B">
        <w:rPr>
          <w:rFonts w:ascii="Times New Roman" w:hAnsi="Times New Roman" w:cs="Times New Roman"/>
        </w:rPr>
        <w:t>, et</w:t>
      </w:r>
      <w:r w:rsidRPr="00040D06">
        <w:rPr>
          <w:rFonts w:ascii="Times New Roman" w:hAnsi="Times New Roman" w:cs="Times New Roman"/>
        </w:rPr>
        <w:t xml:space="preserve"> qu</w:t>
      </w:r>
      <w:r w:rsidR="00570944">
        <w:rPr>
          <w:rFonts w:ascii="Times New Roman" w:hAnsi="Times New Roman" w:cs="Times New Roman"/>
        </w:rPr>
        <w:t>’</w:t>
      </w:r>
      <w:r w:rsidRPr="00040D06">
        <w:rPr>
          <w:rFonts w:ascii="Times New Roman" w:hAnsi="Times New Roman" w:cs="Times New Roman"/>
        </w:rPr>
        <w:t xml:space="preserve">il </w:t>
      </w:r>
      <w:r w:rsidR="00A56C1B" w:rsidRPr="00040D06">
        <w:rPr>
          <w:rFonts w:ascii="Times New Roman" w:hAnsi="Times New Roman" w:cs="Times New Roman"/>
        </w:rPr>
        <w:t>s</w:t>
      </w:r>
      <w:r w:rsidR="00570944">
        <w:rPr>
          <w:rFonts w:ascii="Times New Roman" w:hAnsi="Times New Roman" w:cs="Times New Roman"/>
        </w:rPr>
        <w:t>’</w:t>
      </w:r>
      <w:r w:rsidR="00A56C1B" w:rsidRPr="00040D06">
        <w:rPr>
          <w:rFonts w:ascii="Times New Roman" w:hAnsi="Times New Roman" w:cs="Times New Roman"/>
        </w:rPr>
        <w:t>agit d</w:t>
      </w:r>
      <w:r w:rsidR="00570944">
        <w:rPr>
          <w:rFonts w:ascii="Times New Roman" w:hAnsi="Times New Roman" w:cs="Times New Roman"/>
        </w:rPr>
        <w:t>’</w:t>
      </w:r>
      <w:r w:rsidR="00A56C1B" w:rsidRPr="00040D06">
        <w:rPr>
          <w:rFonts w:ascii="Times New Roman" w:hAnsi="Times New Roman" w:cs="Times New Roman"/>
        </w:rPr>
        <w:t xml:space="preserve">un groupe hétérogène, </w:t>
      </w:r>
      <w:r w:rsidR="00F675A7" w:rsidRPr="00040D06">
        <w:rPr>
          <w:rFonts w:ascii="Times New Roman" w:hAnsi="Times New Roman" w:cs="Times New Roman"/>
        </w:rPr>
        <w:t>caractérisé</w:t>
      </w:r>
      <w:r w:rsidR="00615419" w:rsidRPr="00040D06">
        <w:rPr>
          <w:rFonts w:ascii="Times New Roman" w:hAnsi="Times New Roman" w:cs="Times New Roman"/>
        </w:rPr>
        <w:t xml:space="preserve"> </w:t>
      </w:r>
      <w:r w:rsidR="00615419" w:rsidRPr="006D3EB0">
        <w:rPr>
          <w:rFonts w:ascii="Times New Roman" w:hAnsi="Times New Roman" w:cs="Times New Roman"/>
        </w:rPr>
        <w:t>notamment</w:t>
      </w:r>
      <w:r w:rsidR="00F675A7" w:rsidRPr="006D3EB0">
        <w:rPr>
          <w:rFonts w:ascii="Times New Roman" w:hAnsi="Times New Roman" w:cs="Times New Roman"/>
        </w:rPr>
        <w:t xml:space="preserve"> par </w:t>
      </w:r>
      <w:r w:rsidR="00A302B2" w:rsidRPr="006D3EB0">
        <w:rPr>
          <w:rFonts w:ascii="Times New Roman" w:hAnsi="Times New Roman" w:cs="Times New Roman"/>
        </w:rPr>
        <w:t xml:space="preserve">une diversité </w:t>
      </w:r>
      <w:r w:rsidR="00F675A7" w:rsidRPr="006D3EB0">
        <w:rPr>
          <w:rFonts w:ascii="Times New Roman" w:hAnsi="Times New Roman" w:cs="Times New Roman"/>
        </w:rPr>
        <w:t>de niveaux socioéconomiques</w:t>
      </w:r>
      <w:r w:rsidR="000A7FF3" w:rsidRPr="006D3EB0">
        <w:rPr>
          <w:rFonts w:ascii="Times New Roman" w:hAnsi="Times New Roman" w:cs="Times New Roman"/>
        </w:rPr>
        <w:t xml:space="preserve">, </w:t>
      </w:r>
      <w:r w:rsidR="00615419" w:rsidRPr="006D3EB0">
        <w:rPr>
          <w:rFonts w:ascii="Times New Roman" w:hAnsi="Times New Roman" w:cs="Times New Roman"/>
        </w:rPr>
        <w:t>de fort</w:t>
      </w:r>
      <w:r w:rsidR="00E56522" w:rsidRPr="006D3EB0">
        <w:rPr>
          <w:rFonts w:ascii="Times New Roman" w:hAnsi="Times New Roman" w:cs="Times New Roman"/>
        </w:rPr>
        <w:t>e</w:t>
      </w:r>
      <w:r w:rsidR="00615419" w:rsidRPr="006D3EB0">
        <w:rPr>
          <w:rFonts w:ascii="Times New Roman" w:hAnsi="Times New Roman" w:cs="Times New Roman"/>
        </w:rPr>
        <w:t xml:space="preserve">s </w:t>
      </w:r>
      <w:r w:rsidR="00E56522" w:rsidRPr="006D3EB0">
        <w:rPr>
          <w:rFonts w:ascii="Times New Roman" w:hAnsi="Times New Roman" w:cs="Times New Roman"/>
        </w:rPr>
        <w:t>disparités</w:t>
      </w:r>
      <w:r w:rsidR="00615419" w:rsidRPr="006D3EB0">
        <w:rPr>
          <w:rFonts w:ascii="Times New Roman" w:hAnsi="Times New Roman" w:cs="Times New Roman"/>
        </w:rPr>
        <w:t xml:space="preserve"> </w:t>
      </w:r>
      <w:r w:rsidR="00EB2955">
        <w:rPr>
          <w:rFonts w:ascii="Times New Roman" w:hAnsi="Times New Roman" w:cs="Times New Roman"/>
        </w:rPr>
        <w:t>en fonction de la résidence dans</w:t>
      </w:r>
      <w:r w:rsidR="00E56522" w:rsidRPr="006D3EB0">
        <w:rPr>
          <w:rFonts w:ascii="Times New Roman" w:hAnsi="Times New Roman" w:cs="Times New Roman"/>
        </w:rPr>
        <w:t xml:space="preserve"> d</w:t>
      </w:r>
      <w:r w:rsidR="002F5118" w:rsidRPr="006D3EB0">
        <w:rPr>
          <w:rFonts w:ascii="Times New Roman" w:hAnsi="Times New Roman" w:cs="Times New Roman"/>
        </w:rPr>
        <w:t xml:space="preserve">es </w:t>
      </w:r>
      <w:r w:rsidR="00F675A7" w:rsidRPr="006D3EB0">
        <w:rPr>
          <w:rFonts w:ascii="Times New Roman" w:hAnsi="Times New Roman" w:cs="Times New Roman"/>
        </w:rPr>
        <w:t>z</w:t>
      </w:r>
      <w:r w:rsidR="002E6063" w:rsidRPr="006D3EB0">
        <w:rPr>
          <w:rFonts w:ascii="Times New Roman" w:hAnsi="Times New Roman" w:cs="Times New Roman"/>
        </w:rPr>
        <w:t>ones urbaines</w:t>
      </w:r>
      <w:r w:rsidR="00E56522" w:rsidRPr="006D3EB0">
        <w:rPr>
          <w:rFonts w:ascii="Times New Roman" w:hAnsi="Times New Roman" w:cs="Times New Roman"/>
        </w:rPr>
        <w:t xml:space="preserve"> ou</w:t>
      </w:r>
      <w:r w:rsidR="00615419" w:rsidRPr="006D3EB0">
        <w:rPr>
          <w:rFonts w:ascii="Times New Roman" w:hAnsi="Times New Roman" w:cs="Times New Roman"/>
        </w:rPr>
        <w:t xml:space="preserve"> </w:t>
      </w:r>
      <w:r w:rsidR="002E6063" w:rsidRPr="006D3EB0">
        <w:rPr>
          <w:rFonts w:ascii="Times New Roman" w:hAnsi="Times New Roman" w:cs="Times New Roman"/>
        </w:rPr>
        <w:t>rurales</w:t>
      </w:r>
      <w:r w:rsidR="000A7FF3" w:rsidRPr="006D3EB0">
        <w:rPr>
          <w:rFonts w:ascii="Times New Roman" w:hAnsi="Times New Roman" w:cs="Times New Roman"/>
        </w:rPr>
        <w:t xml:space="preserve">, </w:t>
      </w:r>
      <w:r w:rsidR="00EB2955">
        <w:rPr>
          <w:rFonts w:ascii="Times New Roman" w:hAnsi="Times New Roman" w:cs="Times New Roman"/>
        </w:rPr>
        <w:t>de la possibilité d’avoir bénéficié</w:t>
      </w:r>
      <w:r w:rsidR="00BA1C6B">
        <w:rPr>
          <w:rFonts w:ascii="Times New Roman" w:hAnsi="Times New Roman" w:cs="Times New Roman"/>
        </w:rPr>
        <w:t xml:space="preserve"> d</w:t>
      </w:r>
      <w:r w:rsidR="00570944">
        <w:rPr>
          <w:rFonts w:ascii="Times New Roman" w:hAnsi="Times New Roman" w:cs="Times New Roman"/>
        </w:rPr>
        <w:t>’</w:t>
      </w:r>
      <w:r w:rsidR="00BA1C6B">
        <w:rPr>
          <w:rFonts w:ascii="Times New Roman" w:hAnsi="Times New Roman" w:cs="Times New Roman"/>
        </w:rPr>
        <w:t xml:space="preserve">un enseignement formel ou </w:t>
      </w:r>
      <w:r w:rsidR="00EB2955">
        <w:rPr>
          <w:rFonts w:ascii="Times New Roman" w:hAnsi="Times New Roman" w:cs="Times New Roman"/>
        </w:rPr>
        <w:t>pas</w:t>
      </w:r>
      <w:r w:rsidR="00B77BC0">
        <w:rPr>
          <w:rFonts w:ascii="Times New Roman" w:hAnsi="Times New Roman" w:cs="Times New Roman"/>
        </w:rPr>
        <w:t xml:space="preserve">, et </w:t>
      </w:r>
      <w:r w:rsidR="00354B04">
        <w:rPr>
          <w:rFonts w:ascii="Times New Roman" w:hAnsi="Times New Roman" w:cs="Times New Roman"/>
        </w:rPr>
        <w:t>d</w:t>
      </w:r>
      <w:r w:rsidR="00570944">
        <w:rPr>
          <w:rFonts w:ascii="Times New Roman" w:hAnsi="Times New Roman" w:cs="Times New Roman"/>
        </w:rPr>
        <w:t>’</w:t>
      </w:r>
      <w:r w:rsidR="00354B04">
        <w:rPr>
          <w:rFonts w:ascii="Times New Roman" w:hAnsi="Times New Roman" w:cs="Times New Roman"/>
        </w:rPr>
        <w:t xml:space="preserve">un </w:t>
      </w:r>
      <w:r w:rsidR="000A7FF3" w:rsidRPr="006D3EB0">
        <w:rPr>
          <w:rFonts w:ascii="Times New Roman" w:hAnsi="Times New Roman" w:cs="Times New Roman"/>
        </w:rPr>
        <w:t>accès croissant bien qu</w:t>
      </w:r>
      <w:r w:rsidR="00570944">
        <w:rPr>
          <w:rFonts w:ascii="Times New Roman" w:hAnsi="Times New Roman" w:cs="Times New Roman"/>
        </w:rPr>
        <w:t>’</w:t>
      </w:r>
      <w:r w:rsidR="000A7FF3" w:rsidRPr="006D3EB0">
        <w:rPr>
          <w:rFonts w:ascii="Times New Roman" w:hAnsi="Times New Roman" w:cs="Times New Roman"/>
        </w:rPr>
        <w:t xml:space="preserve">inégal à Internet et aux outils numériques ; que ce groupe est également caractérisé par des </w:t>
      </w:r>
      <w:r w:rsidR="006D3EB0" w:rsidRPr="006D3EB0">
        <w:rPr>
          <w:rFonts w:ascii="Times New Roman" w:hAnsi="Times New Roman" w:cs="Times New Roman"/>
        </w:rPr>
        <w:t>différences</w:t>
      </w:r>
      <w:r w:rsidR="000A7FF3" w:rsidRPr="006D3EB0">
        <w:rPr>
          <w:rFonts w:ascii="Times New Roman" w:hAnsi="Times New Roman" w:cs="Times New Roman"/>
        </w:rPr>
        <w:t xml:space="preserve"> en termes de capacités, </w:t>
      </w:r>
      <w:r w:rsidR="00432C91" w:rsidRPr="006D3EB0">
        <w:rPr>
          <w:rFonts w:ascii="Times New Roman" w:hAnsi="Times New Roman" w:cs="Times New Roman"/>
        </w:rPr>
        <w:t xml:space="preserve">de </w:t>
      </w:r>
      <w:r w:rsidR="000A7FF3" w:rsidRPr="006D3EB0">
        <w:rPr>
          <w:rFonts w:ascii="Times New Roman" w:hAnsi="Times New Roman" w:cs="Times New Roman"/>
        </w:rPr>
        <w:t xml:space="preserve">handicaps et </w:t>
      </w:r>
      <w:r w:rsidR="00432C91" w:rsidRPr="006D3EB0">
        <w:rPr>
          <w:rFonts w:ascii="Times New Roman" w:hAnsi="Times New Roman" w:cs="Times New Roman"/>
        </w:rPr>
        <w:t xml:space="preserve">de </w:t>
      </w:r>
      <w:r w:rsidR="000A7FF3" w:rsidRPr="006D3EB0">
        <w:rPr>
          <w:rFonts w:ascii="Times New Roman" w:hAnsi="Times New Roman" w:cs="Times New Roman"/>
        </w:rPr>
        <w:t xml:space="preserve">besoins spéciaux, y compris en </w:t>
      </w:r>
      <w:r w:rsidR="006D3EB0" w:rsidRPr="006D3EB0">
        <w:rPr>
          <w:rFonts w:ascii="Times New Roman" w:hAnsi="Times New Roman" w:cs="Times New Roman"/>
        </w:rPr>
        <w:t>matière</w:t>
      </w:r>
      <w:r w:rsidR="000A7FF3" w:rsidRPr="006D3EB0">
        <w:rPr>
          <w:rFonts w:ascii="Times New Roman" w:hAnsi="Times New Roman" w:cs="Times New Roman"/>
        </w:rPr>
        <w:t xml:space="preserve"> d</w:t>
      </w:r>
      <w:r w:rsidR="00570944">
        <w:rPr>
          <w:rFonts w:ascii="Times New Roman" w:hAnsi="Times New Roman" w:cs="Times New Roman"/>
        </w:rPr>
        <w:t>’</w:t>
      </w:r>
      <w:r w:rsidR="000A7FF3" w:rsidRPr="006D3EB0">
        <w:rPr>
          <w:rFonts w:ascii="Times New Roman" w:hAnsi="Times New Roman" w:cs="Times New Roman"/>
        </w:rPr>
        <w:t>apprent</w:t>
      </w:r>
      <w:r w:rsidR="003C39EA">
        <w:rPr>
          <w:rFonts w:ascii="Times New Roman" w:hAnsi="Times New Roman" w:cs="Times New Roman"/>
        </w:rPr>
        <w:t xml:space="preserve">issage ; que cette diversité varie </w:t>
      </w:r>
      <w:r w:rsidR="000A7FF3" w:rsidRPr="006D3EB0">
        <w:rPr>
          <w:rFonts w:ascii="Times New Roman" w:hAnsi="Times New Roman" w:cs="Times New Roman"/>
        </w:rPr>
        <w:t xml:space="preserve">également </w:t>
      </w:r>
      <w:r w:rsidR="003C39EA">
        <w:rPr>
          <w:rFonts w:ascii="Times New Roman" w:hAnsi="Times New Roman" w:cs="Times New Roman"/>
        </w:rPr>
        <w:t>selon le</w:t>
      </w:r>
      <w:r w:rsidR="000A7FF3" w:rsidRPr="006D3EB0">
        <w:rPr>
          <w:rFonts w:ascii="Times New Roman" w:hAnsi="Times New Roman" w:cs="Times New Roman"/>
        </w:rPr>
        <w:t xml:space="preserve"> risque d</w:t>
      </w:r>
      <w:r w:rsidR="00570944">
        <w:rPr>
          <w:rFonts w:ascii="Times New Roman" w:hAnsi="Times New Roman" w:cs="Times New Roman"/>
        </w:rPr>
        <w:t>’</w:t>
      </w:r>
      <w:r w:rsidR="000A7FF3" w:rsidRPr="006D3EB0">
        <w:rPr>
          <w:rFonts w:ascii="Times New Roman" w:hAnsi="Times New Roman" w:cs="Times New Roman"/>
        </w:rPr>
        <w:t>exposition au VIH, aux grossesses précoces et non désirées, aux violences basées sur le genre et au mariage d</w:t>
      </w:r>
      <w:r w:rsidR="00570944">
        <w:rPr>
          <w:rFonts w:ascii="Times New Roman" w:hAnsi="Times New Roman" w:cs="Times New Roman"/>
        </w:rPr>
        <w:t>’</w:t>
      </w:r>
      <w:r w:rsidR="000A7FF3" w:rsidRPr="006D3EB0">
        <w:rPr>
          <w:rFonts w:ascii="Times New Roman" w:hAnsi="Times New Roman" w:cs="Times New Roman"/>
        </w:rPr>
        <w:t>enfant </w:t>
      </w:r>
      <w:r w:rsidRPr="006D3EB0">
        <w:rPr>
          <w:rFonts w:ascii="Times New Roman" w:hAnsi="Times New Roman" w:cs="Times New Roman"/>
        </w:rPr>
        <w:t xml:space="preserve">; </w:t>
      </w:r>
      <w:r w:rsidR="00BA1C6B">
        <w:rPr>
          <w:rFonts w:ascii="Times New Roman" w:hAnsi="Times New Roman" w:cs="Times New Roman"/>
        </w:rPr>
        <w:t xml:space="preserve">et </w:t>
      </w:r>
      <w:r w:rsidRPr="006D3EB0">
        <w:rPr>
          <w:rFonts w:ascii="Times New Roman" w:hAnsi="Times New Roman" w:cs="Times New Roman"/>
        </w:rPr>
        <w:t>que</w:t>
      </w:r>
      <w:r w:rsidR="00D407F1">
        <w:rPr>
          <w:rFonts w:ascii="Times New Roman" w:hAnsi="Times New Roman" w:cs="Times New Roman"/>
        </w:rPr>
        <w:t>,</w:t>
      </w:r>
      <w:r w:rsidRPr="006D3EB0">
        <w:rPr>
          <w:rFonts w:ascii="Times New Roman" w:hAnsi="Times New Roman" w:cs="Times New Roman"/>
        </w:rPr>
        <w:t xml:space="preserve"> </w:t>
      </w:r>
      <w:r w:rsidR="00AB27D5">
        <w:rPr>
          <w:rFonts w:ascii="Times New Roman" w:hAnsi="Times New Roman" w:cs="Times New Roman"/>
        </w:rPr>
        <w:t>si l</w:t>
      </w:r>
      <w:r w:rsidR="00DD7462" w:rsidRPr="006D3EB0">
        <w:rPr>
          <w:rFonts w:ascii="Times New Roman" w:hAnsi="Times New Roman" w:cs="Times New Roman"/>
        </w:rPr>
        <w:t xml:space="preserve">es adolescents et jeunes ont </w:t>
      </w:r>
      <w:r w:rsidR="002E6063" w:rsidRPr="006D3EB0">
        <w:rPr>
          <w:rFonts w:ascii="Times New Roman" w:hAnsi="Times New Roman" w:cs="Times New Roman"/>
        </w:rPr>
        <w:t>des besoins spécifiques</w:t>
      </w:r>
      <w:r w:rsidR="00AB27D5">
        <w:rPr>
          <w:rFonts w:ascii="Times New Roman" w:hAnsi="Times New Roman" w:cs="Times New Roman"/>
        </w:rPr>
        <w:t>, il n’en demeure pas moins qu’i</w:t>
      </w:r>
      <w:r w:rsidR="002F5118" w:rsidRPr="006D3EB0">
        <w:rPr>
          <w:rFonts w:ascii="Times New Roman" w:hAnsi="Times New Roman" w:cs="Times New Roman"/>
        </w:rPr>
        <w:t>ls</w:t>
      </w:r>
      <w:r w:rsidR="002E6063" w:rsidRPr="006D3EB0">
        <w:rPr>
          <w:rFonts w:ascii="Times New Roman" w:hAnsi="Times New Roman" w:cs="Times New Roman"/>
        </w:rPr>
        <w:t xml:space="preserve"> </w:t>
      </w:r>
      <w:r w:rsidR="00DD7462" w:rsidRPr="006D3EB0">
        <w:rPr>
          <w:rFonts w:ascii="Times New Roman" w:hAnsi="Times New Roman" w:cs="Times New Roman"/>
        </w:rPr>
        <w:t>possèdent</w:t>
      </w:r>
      <w:r w:rsidR="002E6063" w:rsidRPr="006D3EB0">
        <w:rPr>
          <w:rFonts w:ascii="Times New Roman" w:hAnsi="Times New Roman" w:cs="Times New Roman"/>
        </w:rPr>
        <w:t xml:space="preserve"> les mêmes droits</w:t>
      </w:r>
      <w:r w:rsidR="000A7FF3" w:rsidRPr="006D3EB0">
        <w:rPr>
          <w:rFonts w:ascii="Times New Roman" w:hAnsi="Times New Roman" w:cs="Times New Roman"/>
        </w:rPr>
        <w:t> ;</w:t>
      </w:r>
      <w:r w:rsidR="000A7FF3" w:rsidRPr="000A7FF3">
        <w:rPr>
          <w:rFonts w:ascii="Times New Roman" w:hAnsi="Times New Roman" w:cs="Times New Roman"/>
        </w:rPr>
        <w:t xml:space="preserve"> </w:t>
      </w:r>
    </w:p>
    <w:p w14:paraId="7603F650" w14:textId="0D867DD3" w:rsidR="007C6071" w:rsidRDefault="007C6071">
      <w:pPr>
        <w:spacing w:after="120"/>
        <w:ind w:firstLine="708"/>
        <w:jc w:val="both"/>
        <w:rPr>
          <w:rFonts w:ascii="Times New Roman" w:hAnsi="Times New Roman"/>
        </w:rPr>
      </w:pPr>
      <w:r w:rsidRPr="001D4648">
        <w:rPr>
          <w:rFonts w:ascii="Times New Roman" w:hAnsi="Times New Roman" w:cs="Times New Roman"/>
          <w:i/>
          <w:iCs/>
        </w:rPr>
        <w:t xml:space="preserve">Notant avec </w:t>
      </w:r>
      <w:r w:rsidRPr="00040D06">
        <w:rPr>
          <w:rFonts w:ascii="Times New Roman" w:hAnsi="Times New Roman" w:cs="Times New Roman"/>
          <w:i/>
          <w:iCs/>
        </w:rPr>
        <w:t>préoccupation</w:t>
      </w:r>
      <w:r>
        <w:rPr>
          <w:rFonts w:ascii="Times New Roman" w:hAnsi="Times New Roman" w:cs="Times New Roman"/>
        </w:rPr>
        <w:t xml:space="preserve"> que l</w:t>
      </w:r>
      <w:r w:rsidR="00DB4BEA" w:rsidRPr="00040D06">
        <w:rPr>
          <w:rFonts w:ascii="Times New Roman" w:hAnsi="Times New Roman" w:cs="Times New Roman"/>
        </w:rPr>
        <w:t xml:space="preserve">a </w:t>
      </w:r>
      <w:r w:rsidR="006D3EB0">
        <w:rPr>
          <w:rFonts w:ascii="Times New Roman" w:hAnsi="Times New Roman" w:cs="Times New Roman"/>
        </w:rPr>
        <w:t>crise</w:t>
      </w:r>
      <w:r w:rsidRPr="00040D06">
        <w:rPr>
          <w:rFonts w:ascii="Times New Roman" w:hAnsi="Times New Roman" w:cs="Times New Roman"/>
        </w:rPr>
        <w:t xml:space="preserve"> </w:t>
      </w:r>
      <w:r w:rsidR="00DB4BEA" w:rsidRPr="00040D06">
        <w:rPr>
          <w:rFonts w:ascii="Times New Roman" w:hAnsi="Times New Roman" w:cs="Times New Roman"/>
        </w:rPr>
        <w:t xml:space="preserve">de </w:t>
      </w:r>
      <w:r w:rsidRPr="00040D06">
        <w:rPr>
          <w:rFonts w:ascii="Times New Roman" w:hAnsi="Times New Roman" w:cs="Times New Roman"/>
        </w:rPr>
        <w:t xml:space="preserve">la </w:t>
      </w:r>
      <w:r w:rsidR="00DB4BEA" w:rsidRPr="00040D06">
        <w:rPr>
          <w:rFonts w:ascii="Times New Roman" w:hAnsi="Times New Roman" w:cs="Times New Roman"/>
        </w:rPr>
        <w:t xml:space="preserve">COVID-19 a aggravé la vulnérabilité des adolescents et des jeunes, en particulier </w:t>
      </w:r>
      <w:r w:rsidR="000A0834" w:rsidRPr="00040D06">
        <w:rPr>
          <w:rFonts w:ascii="Times New Roman" w:hAnsi="Times New Roman"/>
        </w:rPr>
        <w:t>celle d</w:t>
      </w:r>
      <w:r w:rsidR="00DB4BEA" w:rsidRPr="00040D06">
        <w:rPr>
          <w:rFonts w:ascii="Times New Roman" w:hAnsi="Times New Roman" w:cs="Times New Roman"/>
        </w:rPr>
        <w:t>es filles</w:t>
      </w:r>
      <w:r w:rsidR="00F220C8" w:rsidRPr="00040D06">
        <w:rPr>
          <w:rFonts w:ascii="Times New Roman" w:hAnsi="Times New Roman" w:cs="Times New Roman"/>
        </w:rPr>
        <w:t xml:space="preserve"> et </w:t>
      </w:r>
      <w:r w:rsidR="00B046A9" w:rsidRPr="00040D06">
        <w:rPr>
          <w:rFonts w:ascii="Times New Roman" w:hAnsi="Times New Roman"/>
        </w:rPr>
        <w:t>d</w:t>
      </w:r>
      <w:r w:rsidR="00F220C8" w:rsidRPr="00040D06">
        <w:rPr>
          <w:rFonts w:ascii="Times New Roman" w:hAnsi="Times New Roman" w:cs="Times New Roman"/>
        </w:rPr>
        <w:t>es plus marginalisés</w:t>
      </w:r>
      <w:r w:rsidR="00DB4BEA" w:rsidRPr="00040D06">
        <w:rPr>
          <w:rFonts w:ascii="Times New Roman" w:hAnsi="Times New Roman" w:cs="Times New Roman"/>
        </w:rPr>
        <w:t>, et fait craindre des abandons scolaires</w:t>
      </w:r>
      <w:r w:rsidR="006404E3">
        <w:rPr>
          <w:rFonts w:ascii="Times New Roman" w:hAnsi="Times New Roman" w:cs="Times New Roman"/>
        </w:rPr>
        <w:t xml:space="preserve">, </w:t>
      </w:r>
      <w:r w:rsidR="00DB4BEA" w:rsidRPr="00040D06">
        <w:rPr>
          <w:rFonts w:ascii="Times New Roman" w:hAnsi="Times New Roman" w:cs="Times New Roman"/>
        </w:rPr>
        <w:t xml:space="preserve">une </w:t>
      </w:r>
      <w:r w:rsidR="006404E3">
        <w:rPr>
          <w:rFonts w:ascii="Times New Roman" w:hAnsi="Times New Roman" w:cs="Times New Roman"/>
        </w:rPr>
        <w:t>recrudescence</w:t>
      </w:r>
      <w:r w:rsidR="006404E3" w:rsidRPr="00040D06">
        <w:rPr>
          <w:rFonts w:ascii="Times New Roman" w:hAnsi="Times New Roman" w:cs="Times New Roman"/>
        </w:rPr>
        <w:t xml:space="preserve"> </w:t>
      </w:r>
      <w:r w:rsidR="005B152F" w:rsidRPr="00040D06">
        <w:rPr>
          <w:rFonts w:ascii="Times New Roman" w:hAnsi="Times New Roman" w:cs="Times New Roman"/>
        </w:rPr>
        <w:t>de</w:t>
      </w:r>
      <w:r w:rsidR="006404E3">
        <w:rPr>
          <w:rFonts w:ascii="Times New Roman" w:hAnsi="Times New Roman" w:cs="Times New Roman"/>
        </w:rPr>
        <w:t>s</w:t>
      </w:r>
      <w:r w:rsidR="005B152F" w:rsidRPr="00040D06">
        <w:rPr>
          <w:rFonts w:ascii="Times New Roman" w:hAnsi="Times New Roman" w:cs="Times New Roman"/>
        </w:rPr>
        <w:t xml:space="preserve"> </w:t>
      </w:r>
      <w:r w:rsidR="006404E3">
        <w:rPr>
          <w:rFonts w:ascii="Times New Roman" w:hAnsi="Times New Roman" w:cs="Times New Roman"/>
        </w:rPr>
        <w:t>violences</w:t>
      </w:r>
      <w:r w:rsidR="005B152F" w:rsidRPr="00040D06">
        <w:rPr>
          <w:rFonts w:ascii="Times New Roman" w:hAnsi="Times New Roman" w:cs="Times New Roman"/>
        </w:rPr>
        <w:t xml:space="preserve"> basée</w:t>
      </w:r>
      <w:r w:rsidR="006404E3">
        <w:rPr>
          <w:rFonts w:ascii="Times New Roman" w:hAnsi="Times New Roman" w:cs="Times New Roman"/>
        </w:rPr>
        <w:t>s</w:t>
      </w:r>
      <w:r w:rsidR="00CB5FC7" w:rsidRPr="00040D06">
        <w:rPr>
          <w:rFonts w:ascii="Times New Roman" w:hAnsi="Times New Roman" w:cs="Times New Roman"/>
        </w:rPr>
        <w:t xml:space="preserve"> sur le genre</w:t>
      </w:r>
      <w:r w:rsidR="00DB4BEA" w:rsidRPr="00040D06">
        <w:rPr>
          <w:rFonts w:ascii="Times New Roman" w:hAnsi="Times New Roman" w:cs="Times New Roman"/>
        </w:rPr>
        <w:t xml:space="preserve">, ainsi </w:t>
      </w:r>
      <w:r w:rsidR="0096445C" w:rsidRPr="00040D06">
        <w:rPr>
          <w:rFonts w:ascii="Times New Roman" w:hAnsi="Times New Roman" w:cs="Times New Roman"/>
        </w:rPr>
        <w:t>qu</w:t>
      </w:r>
      <w:r w:rsidR="00570944">
        <w:rPr>
          <w:rFonts w:ascii="Times New Roman" w:hAnsi="Times New Roman" w:cs="Times New Roman"/>
        </w:rPr>
        <w:t>’</w:t>
      </w:r>
      <w:r w:rsidR="0096445C" w:rsidRPr="00040D06">
        <w:rPr>
          <w:rFonts w:ascii="Times New Roman" w:hAnsi="Times New Roman" w:cs="Times New Roman"/>
        </w:rPr>
        <w:t>une multiplication des</w:t>
      </w:r>
      <w:r w:rsidR="00DB4BEA" w:rsidRPr="00040D06">
        <w:rPr>
          <w:rFonts w:ascii="Times New Roman" w:hAnsi="Times New Roman" w:cs="Times New Roman"/>
        </w:rPr>
        <w:t xml:space="preserve"> grossesses </w:t>
      </w:r>
      <w:r w:rsidR="00786CA7" w:rsidRPr="00040D06">
        <w:rPr>
          <w:rFonts w:ascii="Times New Roman" w:hAnsi="Times New Roman" w:cs="Times New Roman"/>
        </w:rPr>
        <w:t xml:space="preserve">chez les </w:t>
      </w:r>
      <w:r w:rsidR="00DB4BEA" w:rsidRPr="00040D06">
        <w:rPr>
          <w:rFonts w:ascii="Times New Roman" w:hAnsi="Times New Roman" w:cs="Times New Roman"/>
        </w:rPr>
        <w:t>adolescentes et des pratiques préjudiciables</w:t>
      </w:r>
      <w:r w:rsidR="00B046A9" w:rsidRPr="00040D06">
        <w:rPr>
          <w:rFonts w:ascii="Times New Roman" w:hAnsi="Times New Roman"/>
        </w:rPr>
        <w:t xml:space="preserve"> à leur santé</w:t>
      </w:r>
      <w:r w:rsidR="00975136">
        <w:rPr>
          <w:rFonts w:ascii="Times New Roman" w:hAnsi="Times New Roman"/>
        </w:rPr>
        <w:t xml:space="preserve"> et à leur bien-être </w:t>
      </w:r>
      <w:r w:rsidR="006404E3">
        <w:rPr>
          <w:rFonts w:ascii="Times New Roman" w:hAnsi="Times New Roman"/>
        </w:rPr>
        <w:t>;</w:t>
      </w:r>
      <w:r>
        <w:rPr>
          <w:rFonts w:ascii="Times New Roman" w:hAnsi="Times New Roman"/>
        </w:rPr>
        <w:t xml:space="preserve"> </w:t>
      </w:r>
    </w:p>
    <w:p w14:paraId="778CFA2A" w14:textId="5141B76B" w:rsidR="009D3DC2" w:rsidRPr="00040D06" w:rsidRDefault="007C6071" w:rsidP="00040D06">
      <w:pPr>
        <w:spacing w:after="120"/>
        <w:ind w:firstLine="708"/>
        <w:jc w:val="both"/>
        <w:rPr>
          <w:rFonts w:ascii="Times New Roman" w:hAnsi="Times New Roman" w:cs="Times New Roman"/>
        </w:rPr>
      </w:pPr>
      <w:r w:rsidRPr="006D3EB0">
        <w:rPr>
          <w:rFonts w:ascii="Times New Roman" w:hAnsi="Times New Roman"/>
          <w:i/>
          <w:iCs/>
        </w:rPr>
        <w:t>Considérant</w:t>
      </w:r>
      <w:r w:rsidRPr="006D3EB0">
        <w:rPr>
          <w:rFonts w:ascii="Times New Roman" w:hAnsi="Times New Roman"/>
        </w:rPr>
        <w:t xml:space="preserve"> que c</w:t>
      </w:r>
      <w:r w:rsidR="005652D2" w:rsidRPr="006D3EB0">
        <w:rPr>
          <w:rFonts w:ascii="Times New Roman" w:hAnsi="Times New Roman" w:cs="Times New Roman"/>
        </w:rPr>
        <w:t xml:space="preserve">ette </w:t>
      </w:r>
      <w:r w:rsidR="00DB4BEA" w:rsidRPr="006D3EB0">
        <w:rPr>
          <w:rFonts w:ascii="Times New Roman" w:hAnsi="Times New Roman" w:cs="Times New Roman"/>
        </w:rPr>
        <w:t>situation appelle</w:t>
      </w:r>
      <w:r w:rsidR="006404E3" w:rsidRPr="006D3EB0">
        <w:rPr>
          <w:rFonts w:ascii="Times New Roman" w:hAnsi="Times New Roman" w:cs="Times New Roman"/>
        </w:rPr>
        <w:t xml:space="preserve"> à </w:t>
      </w:r>
      <w:r w:rsidR="00481777" w:rsidRPr="006D3EB0">
        <w:rPr>
          <w:rFonts w:ascii="Times New Roman" w:hAnsi="Times New Roman" w:cs="Times New Roman"/>
        </w:rPr>
        <w:t>répondr</w:t>
      </w:r>
      <w:r w:rsidR="006404E3" w:rsidRPr="006D3EB0">
        <w:rPr>
          <w:rFonts w:ascii="Times New Roman" w:hAnsi="Times New Roman" w:cs="Times New Roman"/>
        </w:rPr>
        <w:t xml:space="preserve">e, en urgence, </w:t>
      </w:r>
      <w:r w:rsidR="00E34C29" w:rsidRPr="006D3EB0">
        <w:rPr>
          <w:rFonts w:ascii="Times New Roman" w:hAnsi="Times New Roman" w:cs="Times New Roman"/>
        </w:rPr>
        <w:t>aux besoins des adolescents et des jeunes</w:t>
      </w:r>
      <w:r w:rsidR="00F26459" w:rsidRPr="006D3EB0">
        <w:rPr>
          <w:rFonts w:ascii="Times New Roman" w:hAnsi="Times New Roman" w:cs="Times New Roman"/>
        </w:rPr>
        <w:t xml:space="preserve"> </w:t>
      </w:r>
      <w:r w:rsidR="00AA08EF" w:rsidRPr="006D3EB0">
        <w:rPr>
          <w:rFonts w:ascii="Times New Roman" w:hAnsi="Times New Roman" w:cs="Times New Roman"/>
        </w:rPr>
        <w:t>afin d</w:t>
      </w:r>
      <w:r w:rsidR="0096445C" w:rsidRPr="006D3EB0">
        <w:rPr>
          <w:rFonts w:ascii="Times New Roman" w:hAnsi="Times New Roman" w:cs="Times New Roman"/>
        </w:rPr>
        <w:t>es doter d</w:t>
      </w:r>
      <w:r w:rsidR="00100FB8" w:rsidRPr="006D3EB0">
        <w:rPr>
          <w:rFonts w:ascii="Times New Roman" w:hAnsi="Times New Roman" w:cs="Times New Roman"/>
        </w:rPr>
        <w:t xml:space="preserve">es connaissances, </w:t>
      </w:r>
      <w:r w:rsidR="0096445C" w:rsidRPr="006D3EB0">
        <w:rPr>
          <w:rFonts w:ascii="Times New Roman" w:hAnsi="Times New Roman" w:cs="Times New Roman"/>
        </w:rPr>
        <w:t xml:space="preserve">des </w:t>
      </w:r>
      <w:r w:rsidR="00100FB8" w:rsidRPr="006D3EB0">
        <w:rPr>
          <w:rFonts w:ascii="Times New Roman" w:hAnsi="Times New Roman" w:cs="Times New Roman"/>
        </w:rPr>
        <w:t>compétences</w:t>
      </w:r>
      <w:r w:rsidR="00B046A9" w:rsidRPr="006D3EB0">
        <w:rPr>
          <w:rFonts w:ascii="Times New Roman" w:hAnsi="Times New Roman"/>
        </w:rPr>
        <w:t>, des attitudes</w:t>
      </w:r>
      <w:r w:rsidR="00100FB8" w:rsidRPr="006D3EB0">
        <w:rPr>
          <w:rFonts w:ascii="Times New Roman" w:hAnsi="Times New Roman" w:cs="Times New Roman"/>
        </w:rPr>
        <w:t xml:space="preserve"> et </w:t>
      </w:r>
      <w:r w:rsidR="0096445C" w:rsidRPr="006D3EB0">
        <w:rPr>
          <w:rFonts w:ascii="Times New Roman" w:hAnsi="Times New Roman" w:cs="Times New Roman"/>
        </w:rPr>
        <w:t xml:space="preserve">des </w:t>
      </w:r>
      <w:r w:rsidR="00100FB8" w:rsidRPr="006D3EB0">
        <w:rPr>
          <w:rFonts w:ascii="Times New Roman" w:hAnsi="Times New Roman" w:cs="Times New Roman"/>
        </w:rPr>
        <w:t>valeurs leur permett</w:t>
      </w:r>
      <w:r w:rsidR="006D3EB0" w:rsidRPr="006D3EB0">
        <w:rPr>
          <w:rFonts w:ascii="Times New Roman" w:hAnsi="Times New Roman" w:cs="Times New Roman"/>
        </w:rPr>
        <w:t>a</w:t>
      </w:r>
      <w:r w:rsidR="00100FB8" w:rsidRPr="006D3EB0">
        <w:rPr>
          <w:rFonts w:ascii="Times New Roman" w:hAnsi="Times New Roman" w:cs="Times New Roman"/>
        </w:rPr>
        <w:t>nt</w:t>
      </w:r>
      <w:r w:rsidR="00100FB8" w:rsidRPr="006D3EB0">
        <w:rPr>
          <w:rFonts w:ascii="Times New Roman" w:hAnsi="Times New Roman"/>
        </w:rPr>
        <w:t xml:space="preserve"> </w:t>
      </w:r>
      <w:r w:rsidR="00D407F1">
        <w:rPr>
          <w:rFonts w:ascii="Times New Roman" w:hAnsi="Times New Roman"/>
        </w:rPr>
        <w:t>de jouir du plus haut niveau d’éducation et de santé possible, et de mener des vies saines et épanouies</w:t>
      </w:r>
      <w:r w:rsidR="006D3EB0">
        <w:rPr>
          <w:rFonts w:ascii="Times New Roman" w:hAnsi="Times New Roman"/>
        </w:rPr>
        <w:t> ;</w:t>
      </w:r>
    </w:p>
    <w:p w14:paraId="67340251" w14:textId="6765889A" w:rsidR="007A5F93" w:rsidRPr="00040D06" w:rsidRDefault="007C6071" w:rsidP="00040D06">
      <w:pPr>
        <w:spacing w:after="120" w:line="240" w:lineRule="auto"/>
        <w:ind w:firstLine="708"/>
        <w:jc w:val="both"/>
        <w:rPr>
          <w:rFonts w:ascii="Times New Roman" w:hAnsi="Times New Roman" w:cs="Times New Roman"/>
        </w:rPr>
      </w:pPr>
      <w:r>
        <w:rPr>
          <w:rFonts w:ascii="Times New Roman" w:hAnsi="Times New Roman" w:cs="Times New Roman"/>
          <w:i/>
          <w:iCs/>
        </w:rPr>
        <w:t>Convaincus</w:t>
      </w:r>
      <w:r>
        <w:rPr>
          <w:rFonts w:ascii="Times New Roman" w:hAnsi="Times New Roman" w:cs="Times New Roman"/>
        </w:rPr>
        <w:t xml:space="preserve"> que </w:t>
      </w:r>
      <w:r w:rsidR="006404E3">
        <w:rPr>
          <w:rFonts w:ascii="Times New Roman" w:hAnsi="Times New Roman" w:cs="Times New Roman"/>
        </w:rPr>
        <w:t>cette</w:t>
      </w:r>
      <w:r w:rsidR="00F31CA9" w:rsidRPr="00040D06">
        <w:rPr>
          <w:rFonts w:ascii="Times New Roman" w:hAnsi="Times New Roman" w:cs="Times New Roman"/>
        </w:rPr>
        <w:t xml:space="preserve"> vision pour l</w:t>
      </w:r>
      <w:r w:rsidR="00570944">
        <w:rPr>
          <w:rFonts w:ascii="Times New Roman" w:hAnsi="Times New Roman" w:cs="Times New Roman"/>
        </w:rPr>
        <w:t>’</w:t>
      </w:r>
      <w:r w:rsidR="00F31CA9" w:rsidRPr="00040D06">
        <w:rPr>
          <w:rFonts w:ascii="Times New Roman" w:hAnsi="Times New Roman" w:cs="Times New Roman"/>
        </w:rPr>
        <w:t>Afrique de l</w:t>
      </w:r>
      <w:r w:rsidR="00570944">
        <w:rPr>
          <w:rFonts w:ascii="Times New Roman" w:hAnsi="Times New Roman" w:cs="Times New Roman"/>
        </w:rPr>
        <w:t>’</w:t>
      </w:r>
      <w:r w:rsidR="00F31CA9" w:rsidRPr="00040D06">
        <w:rPr>
          <w:rFonts w:ascii="Times New Roman" w:hAnsi="Times New Roman" w:cs="Times New Roman"/>
        </w:rPr>
        <w:t>Ouest et du Centre</w:t>
      </w:r>
      <w:r w:rsidR="009D3DC2" w:rsidRPr="00040D06">
        <w:rPr>
          <w:rFonts w:ascii="Times New Roman" w:hAnsi="Times New Roman" w:cs="Times New Roman"/>
        </w:rPr>
        <w:t xml:space="preserve"> implique </w:t>
      </w:r>
      <w:r w:rsidR="00F31CA9" w:rsidRPr="00040D06">
        <w:rPr>
          <w:rFonts w:ascii="Times New Roman" w:hAnsi="Times New Roman" w:cs="Times New Roman"/>
        </w:rPr>
        <w:t>que les adolescents et les jeunes</w:t>
      </w:r>
      <w:r w:rsidR="00E34C29" w:rsidRPr="00040D06">
        <w:rPr>
          <w:rFonts w:ascii="Times New Roman" w:hAnsi="Times New Roman" w:cs="Times New Roman"/>
        </w:rPr>
        <w:t xml:space="preserve"> conna</w:t>
      </w:r>
      <w:r w:rsidR="00F31CA9" w:rsidRPr="00040D06">
        <w:rPr>
          <w:rFonts w:ascii="Times New Roman" w:hAnsi="Times New Roman" w:cs="Times New Roman"/>
        </w:rPr>
        <w:t>issent</w:t>
      </w:r>
      <w:r w:rsidR="00E34C29" w:rsidRPr="00040D06">
        <w:rPr>
          <w:rFonts w:ascii="Times New Roman" w:hAnsi="Times New Roman" w:cs="Times New Roman"/>
        </w:rPr>
        <w:t xml:space="preserve"> et compren</w:t>
      </w:r>
      <w:r w:rsidR="00F31CA9" w:rsidRPr="00040D06">
        <w:rPr>
          <w:rFonts w:ascii="Times New Roman" w:hAnsi="Times New Roman" w:cs="Times New Roman"/>
        </w:rPr>
        <w:t>nent</w:t>
      </w:r>
      <w:r w:rsidR="00E34C29" w:rsidRPr="00040D06">
        <w:rPr>
          <w:rFonts w:ascii="Times New Roman" w:hAnsi="Times New Roman" w:cs="Times New Roman"/>
        </w:rPr>
        <w:t xml:space="preserve"> l</w:t>
      </w:r>
      <w:r w:rsidR="007A5F93" w:rsidRPr="00040D06">
        <w:rPr>
          <w:rFonts w:ascii="Times New Roman" w:hAnsi="Times New Roman" w:cs="Times New Roman"/>
        </w:rPr>
        <w:t>eurs droits</w:t>
      </w:r>
      <w:r w:rsidR="00F31CA9" w:rsidRPr="00040D06">
        <w:rPr>
          <w:rFonts w:ascii="Times New Roman" w:hAnsi="Times New Roman" w:cs="Times New Roman"/>
        </w:rPr>
        <w:t xml:space="preserve"> à la santé, à l</w:t>
      </w:r>
      <w:r w:rsidR="00570944">
        <w:rPr>
          <w:rFonts w:ascii="Times New Roman" w:hAnsi="Times New Roman" w:cs="Times New Roman"/>
        </w:rPr>
        <w:t>’</w:t>
      </w:r>
      <w:r w:rsidR="00F31CA9" w:rsidRPr="00040D06">
        <w:rPr>
          <w:rFonts w:ascii="Times New Roman" w:hAnsi="Times New Roman" w:cs="Times New Roman"/>
        </w:rPr>
        <w:t>éducation et à la protection,</w:t>
      </w:r>
      <w:r w:rsidR="007A5F93" w:rsidRPr="00040D06">
        <w:rPr>
          <w:rFonts w:ascii="Times New Roman" w:hAnsi="Times New Roman" w:cs="Times New Roman"/>
        </w:rPr>
        <w:t xml:space="preserve"> et </w:t>
      </w:r>
      <w:r w:rsidR="00F31CA9" w:rsidRPr="00040D06">
        <w:rPr>
          <w:rFonts w:ascii="Times New Roman" w:hAnsi="Times New Roman" w:cs="Times New Roman"/>
        </w:rPr>
        <w:t xml:space="preserve">peuvent </w:t>
      </w:r>
      <w:r w:rsidR="007A5F93" w:rsidRPr="00040D06">
        <w:rPr>
          <w:rFonts w:ascii="Times New Roman" w:hAnsi="Times New Roman" w:cs="Times New Roman"/>
        </w:rPr>
        <w:t>les exercer tout au long de leur vie</w:t>
      </w:r>
      <w:r w:rsidR="0046009D" w:rsidRPr="00040D06">
        <w:rPr>
          <w:rFonts w:ascii="Times New Roman" w:hAnsi="Times New Roman" w:cs="Times New Roman"/>
        </w:rPr>
        <w:t>, tout en ayant la capacité de re</w:t>
      </w:r>
      <w:r w:rsidR="007A5F93" w:rsidRPr="00040D06">
        <w:rPr>
          <w:rFonts w:ascii="Times New Roman" w:hAnsi="Times New Roman" w:cs="Times New Roman"/>
        </w:rPr>
        <w:t xml:space="preserve">mettre en cause les inégalités </w:t>
      </w:r>
      <w:r w:rsidR="00F31CA9" w:rsidRPr="00040D06">
        <w:rPr>
          <w:rFonts w:ascii="Times New Roman" w:hAnsi="Times New Roman" w:cs="Times New Roman"/>
        </w:rPr>
        <w:t>de genre</w:t>
      </w:r>
      <w:r w:rsidR="007A5F93" w:rsidRPr="00040D06">
        <w:rPr>
          <w:rFonts w:ascii="Times New Roman" w:hAnsi="Times New Roman" w:cs="Times New Roman"/>
        </w:rPr>
        <w:t xml:space="preserve"> et toute forme de violence basée sur le genre</w:t>
      </w:r>
      <w:r w:rsidR="006D3EB0">
        <w:rPr>
          <w:rFonts w:ascii="Times New Roman" w:hAnsi="Times New Roman" w:cs="Times New Roman"/>
        </w:rPr>
        <w:t> ;</w:t>
      </w:r>
    </w:p>
    <w:p w14:paraId="61FF5E07" w14:textId="6D3C8F7C" w:rsidR="007426C3" w:rsidRPr="00897813" w:rsidRDefault="007C6071">
      <w:pPr>
        <w:spacing w:after="120"/>
        <w:ind w:firstLine="708"/>
        <w:jc w:val="both"/>
        <w:rPr>
          <w:rFonts w:ascii="Times New Roman" w:hAnsi="Times New Roman" w:cs="Times New Roman"/>
        </w:rPr>
      </w:pPr>
      <w:r w:rsidRPr="00040D06">
        <w:rPr>
          <w:rFonts w:ascii="Times New Roman" w:hAnsi="Times New Roman" w:cs="Times New Roman"/>
          <w:i/>
          <w:iCs/>
        </w:rPr>
        <w:t>Notant</w:t>
      </w:r>
      <w:r>
        <w:rPr>
          <w:rFonts w:ascii="Times New Roman" w:hAnsi="Times New Roman" w:cs="Times New Roman"/>
        </w:rPr>
        <w:t xml:space="preserve"> également que l</w:t>
      </w:r>
      <w:r w:rsidR="00570944">
        <w:rPr>
          <w:rFonts w:ascii="Times New Roman" w:hAnsi="Times New Roman" w:cs="Times New Roman"/>
        </w:rPr>
        <w:t>’</w:t>
      </w:r>
      <w:r w:rsidR="00DE20F9" w:rsidRPr="00040D06">
        <w:rPr>
          <w:rFonts w:ascii="Times New Roman" w:hAnsi="Times New Roman" w:cs="Times New Roman"/>
        </w:rPr>
        <w:t xml:space="preserve">Engagement </w:t>
      </w:r>
      <w:r w:rsidR="00F31CA9" w:rsidRPr="00040D06">
        <w:rPr>
          <w:rFonts w:ascii="Times New Roman" w:hAnsi="Times New Roman" w:cs="Times New Roman"/>
        </w:rPr>
        <w:t xml:space="preserve">contribue à </w:t>
      </w:r>
      <w:r w:rsidR="00215E23" w:rsidRPr="00040D06">
        <w:rPr>
          <w:rFonts w:ascii="Times New Roman" w:hAnsi="Times New Roman" w:cs="Times New Roman"/>
        </w:rPr>
        <w:t xml:space="preserve">des </w:t>
      </w:r>
      <w:r w:rsidR="00F25FC5" w:rsidRPr="00040D06">
        <w:rPr>
          <w:rFonts w:ascii="Times New Roman" w:hAnsi="Times New Roman" w:cs="Times New Roman"/>
        </w:rPr>
        <w:t>actions</w:t>
      </w:r>
      <w:r w:rsidR="00F31CA9" w:rsidRPr="00040D06">
        <w:rPr>
          <w:rFonts w:ascii="Times New Roman" w:hAnsi="Times New Roman" w:cs="Times New Roman"/>
        </w:rPr>
        <w:t xml:space="preserve"> </w:t>
      </w:r>
      <w:r w:rsidR="00215E23" w:rsidRPr="00040D06">
        <w:rPr>
          <w:rFonts w:ascii="Times New Roman" w:hAnsi="Times New Roman" w:cs="Times New Roman"/>
        </w:rPr>
        <w:t xml:space="preserve">existantes, telles que </w:t>
      </w:r>
      <w:r w:rsidR="00DE20F9" w:rsidRPr="00040D06">
        <w:rPr>
          <w:rFonts w:ascii="Times New Roman" w:hAnsi="Times New Roman" w:cs="Times New Roman"/>
        </w:rPr>
        <w:t>l</w:t>
      </w:r>
      <w:r w:rsidR="00570944">
        <w:rPr>
          <w:rFonts w:ascii="Times New Roman" w:hAnsi="Times New Roman" w:cs="Times New Roman"/>
        </w:rPr>
        <w:t>’</w:t>
      </w:r>
      <w:r w:rsidR="00DE20F9" w:rsidRPr="00040D06">
        <w:rPr>
          <w:rFonts w:ascii="Times New Roman" w:hAnsi="Times New Roman" w:cs="Times New Roman"/>
        </w:rPr>
        <w:t>Initiative Éducation Plus</w:t>
      </w:r>
      <w:r w:rsidR="00DF09F7" w:rsidRPr="00040D06">
        <w:rPr>
          <w:rFonts w:ascii="Times New Roman" w:hAnsi="Times New Roman" w:cs="Times New Roman"/>
        </w:rPr>
        <w:t>, en faveur de l</w:t>
      </w:r>
      <w:r w:rsidR="00570944">
        <w:rPr>
          <w:rFonts w:ascii="Times New Roman" w:hAnsi="Times New Roman" w:cs="Times New Roman"/>
        </w:rPr>
        <w:t>’</w:t>
      </w:r>
      <w:r w:rsidR="00DF09F7" w:rsidRPr="00040D06">
        <w:rPr>
          <w:rFonts w:ascii="Times New Roman" w:hAnsi="Times New Roman" w:cs="Times New Roman"/>
        </w:rPr>
        <w:t>éducation et de l</w:t>
      </w:r>
      <w:r w:rsidR="00570944">
        <w:rPr>
          <w:rFonts w:ascii="Times New Roman" w:hAnsi="Times New Roman" w:cs="Times New Roman"/>
        </w:rPr>
        <w:t>’</w:t>
      </w:r>
      <w:r w:rsidR="00DF09F7" w:rsidRPr="00040D06">
        <w:rPr>
          <w:rFonts w:ascii="Times New Roman" w:hAnsi="Times New Roman" w:cs="Times New Roman"/>
        </w:rPr>
        <w:t>émancipation des adolescentes</w:t>
      </w:r>
      <w:r w:rsidR="002C0FE2" w:rsidRPr="00040D06">
        <w:rPr>
          <w:rFonts w:ascii="Times New Roman" w:hAnsi="Times New Roman" w:cs="Times New Roman"/>
        </w:rPr>
        <w:t xml:space="preserve"> en Afrique subsaharienne</w:t>
      </w:r>
      <w:r w:rsidR="000B17D2" w:rsidRPr="00040D06">
        <w:rPr>
          <w:rFonts w:ascii="Times New Roman" w:hAnsi="Times New Roman" w:cs="Times New Roman"/>
        </w:rPr>
        <w:t xml:space="preserve">, </w:t>
      </w:r>
      <w:r w:rsidR="00215E23" w:rsidRPr="00040D06">
        <w:rPr>
          <w:rFonts w:ascii="Times New Roman" w:hAnsi="Times New Roman" w:cs="Times New Roman"/>
        </w:rPr>
        <w:t xml:space="preserve">et </w:t>
      </w:r>
      <w:r w:rsidR="003C39EA">
        <w:rPr>
          <w:rFonts w:ascii="Times New Roman" w:hAnsi="Times New Roman" w:cs="Times New Roman"/>
        </w:rPr>
        <w:t>dans laquelle plusieurs pays</w:t>
      </w:r>
      <w:r w:rsidR="000B17D2" w:rsidRPr="00040D06">
        <w:rPr>
          <w:rFonts w:ascii="Times New Roman" w:hAnsi="Times New Roman" w:cs="Times New Roman"/>
        </w:rPr>
        <w:t xml:space="preserve"> d</w:t>
      </w:r>
      <w:r w:rsidR="00570944">
        <w:rPr>
          <w:rFonts w:ascii="Times New Roman" w:hAnsi="Times New Roman" w:cs="Times New Roman"/>
        </w:rPr>
        <w:t>’</w:t>
      </w:r>
      <w:r w:rsidR="000B17D2" w:rsidRPr="00040D06">
        <w:rPr>
          <w:rFonts w:ascii="Times New Roman" w:hAnsi="Times New Roman" w:cs="Times New Roman"/>
        </w:rPr>
        <w:t>Afrique de l</w:t>
      </w:r>
      <w:r w:rsidR="00570944">
        <w:rPr>
          <w:rFonts w:ascii="Times New Roman" w:hAnsi="Times New Roman" w:cs="Times New Roman"/>
        </w:rPr>
        <w:t>’</w:t>
      </w:r>
      <w:r w:rsidR="000B17D2" w:rsidRPr="00040D06">
        <w:rPr>
          <w:rFonts w:ascii="Times New Roman" w:hAnsi="Times New Roman" w:cs="Times New Roman"/>
        </w:rPr>
        <w:t>Ouest et du Centre</w:t>
      </w:r>
      <w:r w:rsidR="003C39EA">
        <w:rPr>
          <w:rFonts w:ascii="Times New Roman" w:hAnsi="Times New Roman" w:cs="Times New Roman"/>
        </w:rPr>
        <w:t xml:space="preserve"> ont adopté le statut de Pays Champion</w:t>
      </w:r>
      <w:r w:rsidR="00FB7F98" w:rsidRPr="00AA08EF">
        <w:rPr>
          <w:rFonts w:ascii="Times New Roman" w:hAnsi="Times New Roman" w:cs="Times New Roman"/>
        </w:rPr>
        <w:t> ;</w:t>
      </w:r>
      <w:r w:rsidR="007426C3" w:rsidRPr="00040D06">
        <w:rPr>
          <w:rFonts w:ascii="Times New Roman" w:hAnsi="Times New Roman" w:cs="Times New Roman"/>
        </w:rPr>
        <w:t xml:space="preserve"> </w:t>
      </w:r>
    </w:p>
    <w:p w14:paraId="109DE28F" w14:textId="1CA53A59" w:rsidR="007C6071" w:rsidRPr="00040D06" w:rsidRDefault="006C1760" w:rsidP="00040D06">
      <w:pPr>
        <w:spacing w:after="120"/>
        <w:ind w:firstLine="708"/>
        <w:jc w:val="both"/>
        <w:rPr>
          <w:rFonts w:ascii="Times New Roman" w:hAnsi="Times New Roman" w:cs="Times New Roman"/>
        </w:rPr>
      </w:pPr>
      <w:r w:rsidRPr="00040D06">
        <w:rPr>
          <w:rFonts w:ascii="Times New Roman" w:hAnsi="Times New Roman" w:cs="Times New Roman"/>
          <w:i/>
          <w:iCs/>
          <w:color w:val="000000"/>
        </w:rPr>
        <w:t>Proclamons notre vision d</w:t>
      </w:r>
      <w:r w:rsidR="00570944">
        <w:rPr>
          <w:rFonts w:ascii="Times New Roman" w:hAnsi="Times New Roman" w:cs="Times New Roman"/>
          <w:i/>
          <w:iCs/>
          <w:color w:val="000000"/>
        </w:rPr>
        <w:t>’</w:t>
      </w:r>
      <w:r w:rsidRPr="00040D06">
        <w:rPr>
          <w:rFonts w:ascii="Times New Roman" w:hAnsi="Times New Roman" w:cs="Times New Roman"/>
          <w:i/>
          <w:iCs/>
          <w:color w:val="000000"/>
        </w:rPr>
        <w:t>une Afrique de l</w:t>
      </w:r>
      <w:r w:rsidR="00570944">
        <w:rPr>
          <w:rFonts w:ascii="Times New Roman" w:hAnsi="Times New Roman" w:cs="Times New Roman"/>
          <w:i/>
          <w:iCs/>
          <w:color w:val="000000"/>
        </w:rPr>
        <w:t>’</w:t>
      </w:r>
      <w:r w:rsidRPr="00040D06">
        <w:rPr>
          <w:rFonts w:ascii="Times New Roman" w:hAnsi="Times New Roman" w:cs="Times New Roman"/>
          <w:i/>
          <w:iCs/>
          <w:color w:val="000000"/>
        </w:rPr>
        <w:t>Ouest et du Centre, où tous les adolescents et les jeunes disposent des connaissances, des compétences</w:t>
      </w:r>
      <w:r w:rsidR="000542BD">
        <w:rPr>
          <w:rFonts w:ascii="Times New Roman" w:hAnsi="Times New Roman" w:cs="Times New Roman"/>
          <w:i/>
          <w:iCs/>
          <w:color w:val="000000"/>
        </w:rPr>
        <w:t>, des attitudes</w:t>
      </w:r>
      <w:r w:rsidRPr="00040D06">
        <w:rPr>
          <w:rFonts w:ascii="Times New Roman" w:hAnsi="Times New Roman" w:cs="Times New Roman"/>
          <w:i/>
          <w:iCs/>
          <w:color w:val="000000"/>
        </w:rPr>
        <w:t xml:space="preserve"> et des valeurs dont ils ont besoin pour transiter vers l</w:t>
      </w:r>
      <w:r w:rsidR="00570944">
        <w:rPr>
          <w:rFonts w:ascii="Times New Roman" w:hAnsi="Times New Roman" w:cs="Times New Roman"/>
          <w:i/>
          <w:iCs/>
          <w:color w:val="000000"/>
        </w:rPr>
        <w:t>’</w:t>
      </w:r>
      <w:r w:rsidRPr="00040D06">
        <w:rPr>
          <w:rFonts w:ascii="Times New Roman" w:hAnsi="Times New Roman" w:cs="Times New Roman"/>
          <w:i/>
          <w:iCs/>
          <w:color w:val="000000"/>
        </w:rPr>
        <w:t>âge adulte, entretenir des relations saines et respectueuses avec les autres, et être prêts à devenir des citoyens actifs, autonomes et responsables au sein de leur communauté, de leur pays et de leur région</w:t>
      </w:r>
      <w:r>
        <w:rPr>
          <w:rFonts w:ascii="Times New Roman" w:hAnsi="Times New Roman" w:cs="Times New Roman"/>
          <w:i/>
          <w:iCs/>
          <w:color w:val="000000"/>
        </w:rPr>
        <w:t>.</w:t>
      </w:r>
    </w:p>
    <w:p w14:paraId="7F6DCD22" w14:textId="52007B5F" w:rsidR="001B1602" w:rsidRDefault="0029190C">
      <w:pPr>
        <w:pStyle w:val="NormalWeb"/>
        <w:jc w:val="both"/>
        <w:rPr>
          <w:b/>
          <w:bCs/>
          <w:color w:val="000000"/>
          <w:sz w:val="22"/>
          <w:szCs w:val="22"/>
        </w:rPr>
      </w:pPr>
      <w:r w:rsidRPr="00D94555">
        <w:rPr>
          <w:b/>
          <w:bCs/>
          <w:color w:val="000000"/>
          <w:sz w:val="22"/>
          <w:szCs w:val="22"/>
        </w:rPr>
        <w:t xml:space="preserve">2.1 </w:t>
      </w:r>
      <w:r w:rsidR="00736FD3" w:rsidRPr="00D94555">
        <w:rPr>
          <w:b/>
          <w:bCs/>
          <w:color w:val="000000"/>
          <w:sz w:val="22"/>
          <w:szCs w:val="22"/>
        </w:rPr>
        <w:t>Défis</w:t>
      </w:r>
    </w:p>
    <w:p w14:paraId="7789D0E3" w14:textId="772B21D4" w:rsidR="0051263F" w:rsidRPr="00040D06" w:rsidRDefault="0051263F">
      <w:pPr>
        <w:pStyle w:val="NormalWeb"/>
        <w:jc w:val="both"/>
        <w:rPr>
          <w:color w:val="000000"/>
          <w:sz w:val="22"/>
          <w:szCs w:val="22"/>
        </w:rPr>
      </w:pPr>
      <w:r w:rsidRPr="00040D06">
        <w:rPr>
          <w:color w:val="000000"/>
          <w:sz w:val="22"/>
          <w:szCs w:val="22"/>
        </w:rPr>
        <w:t xml:space="preserve">En dépit de progrès importants réalisés </w:t>
      </w:r>
      <w:r>
        <w:rPr>
          <w:color w:val="000000"/>
          <w:sz w:val="22"/>
          <w:szCs w:val="22"/>
        </w:rPr>
        <w:t>dans la région</w:t>
      </w:r>
      <w:r w:rsidRPr="00040D06">
        <w:rPr>
          <w:color w:val="000000"/>
          <w:sz w:val="22"/>
          <w:szCs w:val="22"/>
        </w:rPr>
        <w:t xml:space="preserve">, les défis restent nombreux :  </w:t>
      </w:r>
    </w:p>
    <w:p w14:paraId="6D27825D" w14:textId="5E2BBFB0" w:rsidR="0043718F" w:rsidRDefault="00657DFF">
      <w:pPr>
        <w:pStyle w:val="NormalWeb"/>
        <w:numPr>
          <w:ilvl w:val="0"/>
          <w:numId w:val="5"/>
        </w:numPr>
        <w:spacing w:after="120" w:afterAutospacing="0"/>
        <w:ind w:left="714" w:hanging="357"/>
        <w:jc w:val="both"/>
        <w:rPr>
          <w:color w:val="000000"/>
          <w:sz w:val="22"/>
          <w:szCs w:val="22"/>
        </w:rPr>
      </w:pPr>
      <w:r w:rsidRPr="00D94555">
        <w:rPr>
          <w:b/>
          <w:bCs/>
          <w:color w:val="000000"/>
          <w:sz w:val="22"/>
          <w:szCs w:val="22"/>
        </w:rPr>
        <w:t>Grossesses précoces et non désirées</w:t>
      </w:r>
      <w:r w:rsidR="007E71AD" w:rsidRPr="00D94555">
        <w:rPr>
          <w:color w:val="000000"/>
          <w:sz w:val="22"/>
          <w:szCs w:val="22"/>
        </w:rPr>
        <w:t xml:space="preserve"> : </w:t>
      </w:r>
      <w:r w:rsidR="004757F9" w:rsidRPr="00D94555">
        <w:rPr>
          <w:color w:val="000000"/>
          <w:sz w:val="22"/>
          <w:szCs w:val="22"/>
        </w:rPr>
        <w:t>L</w:t>
      </w:r>
      <w:r w:rsidR="007E71AD" w:rsidRPr="00D94555">
        <w:rPr>
          <w:color w:val="000000"/>
          <w:sz w:val="22"/>
          <w:szCs w:val="22"/>
        </w:rPr>
        <w:t>a région AOC enregistre le taux de grossesses d</w:t>
      </w:r>
      <w:r w:rsidR="00570944">
        <w:rPr>
          <w:color w:val="000000"/>
          <w:sz w:val="22"/>
          <w:szCs w:val="22"/>
        </w:rPr>
        <w:t>’</w:t>
      </w:r>
      <w:r w:rsidR="007E71AD" w:rsidRPr="00D94555">
        <w:rPr>
          <w:color w:val="000000"/>
          <w:sz w:val="22"/>
          <w:szCs w:val="22"/>
        </w:rPr>
        <w:t xml:space="preserve">adolescentes le plus élevé au monde : </w:t>
      </w:r>
      <w:r w:rsidR="00CF6F8D" w:rsidRPr="00CF6F8D">
        <w:rPr>
          <w:color w:val="000000"/>
          <w:sz w:val="22"/>
          <w:szCs w:val="22"/>
        </w:rPr>
        <w:t>33</w:t>
      </w:r>
      <w:r w:rsidR="00CF6F8D">
        <w:rPr>
          <w:color w:val="000000"/>
          <w:sz w:val="22"/>
          <w:szCs w:val="22"/>
        </w:rPr>
        <w:t xml:space="preserve"> </w:t>
      </w:r>
      <w:r w:rsidR="00CF6F8D" w:rsidRPr="00CF6F8D">
        <w:rPr>
          <w:color w:val="000000"/>
          <w:sz w:val="22"/>
          <w:szCs w:val="22"/>
        </w:rPr>
        <w:t>% des femmes ont accouché avant l</w:t>
      </w:r>
      <w:r w:rsidR="00570944">
        <w:rPr>
          <w:color w:val="000000"/>
          <w:sz w:val="22"/>
          <w:szCs w:val="22"/>
        </w:rPr>
        <w:t>’</w:t>
      </w:r>
      <w:r w:rsidR="00CF6F8D" w:rsidRPr="00CF6F8D">
        <w:rPr>
          <w:color w:val="000000"/>
          <w:sz w:val="22"/>
          <w:szCs w:val="22"/>
        </w:rPr>
        <w:t>âge de 18 ans, et 3,5 % des adolescentes avant l</w:t>
      </w:r>
      <w:r w:rsidR="00570944">
        <w:rPr>
          <w:color w:val="000000"/>
          <w:sz w:val="22"/>
          <w:szCs w:val="22"/>
        </w:rPr>
        <w:t>’</w:t>
      </w:r>
      <w:r w:rsidR="00CF6F8D" w:rsidRPr="00CF6F8D">
        <w:rPr>
          <w:color w:val="000000"/>
          <w:sz w:val="22"/>
          <w:szCs w:val="22"/>
        </w:rPr>
        <w:t xml:space="preserve">âge de 15 ans. </w:t>
      </w:r>
      <w:r w:rsidR="003C39EA">
        <w:rPr>
          <w:color w:val="000000"/>
          <w:sz w:val="22"/>
          <w:szCs w:val="22"/>
        </w:rPr>
        <w:t xml:space="preserve">Ces grossesses </w:t>
      </w:r>
      <w:r w:rsidR="003C39EA" w:rsidRPr="00D94555">
        <w:rPr>
          <w:color w:val="000000"/>
          <w:sz w:val="22"/>
          <w:szCs w:val="22"/>
        </w:rPr>
        <w:t xml:space="preserve">entraînent </w:t>
      </w:r>
      <w:r w:rsidR="003C39EA">
        <w:rPr>
          <w:color w:val="000000"/>
          <w:sz w:val="22"/>
          <w:szCs w:val="22"/>
        </w:rPr>
        <w:t>d</w:t>
      </w:r>
      <w:r w:rsidR="008D32E9">
        <w:rPr>
          <w:color w:val="000000"/>
          <w:sz w:val="22"/>
          <w:szCs w:val="22"/>
        </w:rPr>
        <w:t>es risques importants pour la santé</w:t>
      </w:r>
      <w:r w:rsidR="003C39EA">
        <w:rPr>
          <w:color w:val="000000"/>
          <w:sz w:val="22"/>
          <w:szCs w:val="22"/>
        </w:rPr>
        <w:t xml:space="preserve"> et constituent </w:t>
      </w:r>
      <w:r w:rsidR="00201D28" w:rsidRPr="00201D28">
        <w:rPr>
          <w:color w:val="000000"/>
          <w:sz w:val="22"/>
          <w:szCs w:val="22"/>
        </w:rPr>
        <w:t>la première cause de décès chez les jeunes femmes africaines</w:t>
      </w:r>
      <w:r w:rsidR="00BD16CC">
        <w:rPr>
          <w:color w:val="000000"/>
          <w:sz w:val="22"/>
          <w:szCs w:val="22"/>
        </w:rPr>
        <w:t>. Elles contribuent par ailleurs aux abandons</w:t>
      </w:r>
      <w:r w:rsidR="008D32E9">
        <w:rPr>
          <w:color w:val="000000"/>
          <w:sz w:val="22"/>
          <w:szCs w:val="22"/>
        </w:rPr>
        <w:t xml:space="preserve"> scolaire</w:t>
      </w:r>
      <w:r w:rsidR="00BD16CC">
        <w:rPr>
          <w:color w:val="000000"/>
          <w:sz w:val="22"/>
          <w:szCs w:val="22"/>
        </w:rPr>
        <w:t>s</w:t>
      </w:r>
      <w:r w:rsidR="008D32E9">
        <w:rPr>
          <w:color w:val="000000"/>
          <w:sz w:val="22"/>
          <w:szCs w:val="22"/>
        </w:rPr>
        <w:t xml:space="preserve"> </w:t>
      </w:r>
      <w:r w:rsidR="00BD16CC">
        <w:rPr>
          <w:color w:val="000000"/>
          <w:sz w:val="22"/>
          <w:szCs w:val="22"/>
        </w:rPr>
        <w:t>et à la</w:t>
      </w:r>
      <w:r w:rsidR="00040D06">
        <w:rPr>
          <w:color w:val="000000"/>
          <w:sz w:val="22"/>
          <w:szCs w:val="22"/>
        </w:rPr>
        <w:t xml:space="preserve"> rupture sociale. </w:t>
      </w:r>
    </w:p>
    <w:p w14:paraId="72DB2CFC" w14:textId="49754826" w:rsidR="0043718F" w:rsidRDefault="007F3D08" w:rsidP="00661F1B">
      <w:pPr>
        <w:pStyle w:val="NormalWeb"/>
        <w:numPr>
          <w:ilvl w:val="0"/>
          <w:numId w:val="5"/>
        </w:numPr>
        <w:spacing w:after="120" w:afterAutospacing="0"/>
        <w:jc w:val="both"/>
        <w:rPr>
          <w:color w:val="000000"/>
          <w:sz w:val="22"/>
          <w:szCs w:val="22"/>
        </w:rPr>
      </w:pPr>
      <w:r w:rsidRPr="0043718F">
        <w:rPr>
          <w:b/>
          <w:bCs/>
          <w:color w:val="000000"/>
          <w:sz w:val="22"/>
          <w:szCs w:val="22"/>
        </w:rPr>
        <w:t>Mariages d</w:t>
      </w:r>
      <w:r w:rsidR="00570944">
        <w:rPr>
          <w:b/>
          <w:bCs/>
          <w:color w:val="000000"/>
          <w:sz w:val="22"/>
          <w:szCs w:val="22"/>
        </w:rPr>
        <w:t>’</w:t>
      </w:r>
      <w:r w:rsidRPr="0043718F">
        <w:rPr>
          <w:b/>
          <w:bCs/>
          <w:color w:val="000000"/>
          <w:sz w:val="22"/>
          <w:szCs w:val="22"/>
        </w:rPr>
        <w:t>enfant</w:t>
      </w:r>
      <w:r w:rsidR="007E71AD" w:rsidRPr="0043718F">
        <w:rPr>
          <w:color w:val="000000"/>
          <w:sz w:val="22"/>
          <w:szCs w:val="22"/>
        </w:rPr>
        <w:t xml:space="preserve"> : En </w:t>
      </w:r>
      <w:r w:rsidR="00661F1B">
        <w:rPr>
          <w:color w:val="000000"/>
          <w:sz w:val="22"/>
          <w:szCs w:val="22"/>
        </w:rPr>
        <w:t xml:space="preserve">dépit de grandes disparités </w:t>
      </w:r>
      <w:r w:rsidR="00661F1B" w:rsidRPr="00661F1B">
        <w:rPr>
          <w:color w:val="000000"/>
          <w:sz w:val="22"/>
          <w:szCs w:val="22"/>
        </w:rPr>
        <w:t>et de progrès considérables depuis 1990</w:t>
      </w:r>
      <w:r w:rsidR="00661F1B">
        <w:rPr>
          <w:color w:val="000000"/>
          <w:sz w:val="22"/>
          <w:szCs w:val="22"/>
        </w:rPr>
        <w:t xml:space="preserve">, </w:t>
      </w:r>
      <w:r w:rsidR="007E71AD" w:rsidRPr="0043718F">
        <w:rPr>
          <w:color w:val="000000"/>
          <w:sz w:val="22"/>
          <w:szCs w:val="22"/>
        </w:rPr>
        <w:t>plus d</w:t>
      </w:r>
      <w:r w:rsidR="00570944">
        <w:rPr>
          <w:color w:val="000000"/>
          <w:sz w:val="22"/>
          <w:szCs w:val="22"/>
        </w:rPr>
        <w:t>’</w:t>
      </w:r>
      <w:r w:rsidR="007E71AD" w:rsidRPr="0043718F">
        <w:rPr>
          <w:color w:val="000000"/>
          <w:sz w:val="22"/>
          <w:szCs w:val="22"/>
        </w:rPr>
        <w:t>une fille sur sept est mariée à l</w:t>
      </w:r>
      <w:r w:rsidR="00570944">
        <w:rPr>
          <w:color w:val="000000"/>
          <w:sz w:val="22"/>
          <w:szCs w:val="22"/>
        </w:rPr>
        <w:t>’</w:t>
      </w:r>
      <w:r w:rsidR="007E71AD" w:rsidRPr="0043718F">
        <w:rPr>
          <w:color w:val="000000"/>
          <w:sz w:val="22"/>
          <w:szCs w:val="22"/>
        </w:rPr>
        <w:t>âge de 14 ans ou avan</w:t>
      </w:r>
      <w:r w:rsidR="00EB4365">
        <w:rPr>
          <w:color w:val="000000"/>
          <w:sz w:val="22"/>
          <w:szCs w:val="22"/>
        </w:rPr>
        <w:t>t</w:t>
      </w:r>
      <w:r w:rsidR="00BD16CC">
        <w:rPr>
          <w:color w:val="000000"/>
          <w:sz w:val="22"/>
          <w:szCs w:val="22"/>
        </w:rPr>
        <w:t xml:space="preserve">, et </w:t>
      </w:r>
      <w:r w:rsidR="00D207A9">
        <w:rPr>
          <w:color w:val="000000"/>
          <w:sz w:val="22"/>
          <w:szCs w:val="22"/>
        </w:rPr>
        <w:t>s</w:t>
      </w:r>
      <w:r w:rsidR="00D207A9" w:rsidRPr="00D207A9">
        <w:rPr>
          <w:color w:val="000000"/>
          <w:sz w:val="22"/>
          <w:szCs w:val="22"/>
        </w:rPr>
        <w:t xml:space="preserve">ix des </w:t>
      </w:r>
      <w:r w:rsidR="00D207A9">
        <w:rPr>
          <w:color w:val="000000"/>
          <w:sz w:val="22"/>
          <w:szCs w:val="22"/>
        </w:rPr>
        <w:t>dix</w:t>
      </w:r>
      <w:r w:rsidR="00D207A9" w:rsidRPr="00D207A9">
        <w:rPr>
          <w:color w:val="000000"/>
          <w:sz w:val="22"/>
          <w:szCs w:val="22"/>
        </w:rPr>
        <w:t xml:space="preserve"> pays ayant la plus forte prévalence de mariages d</w:t>
      </w:r>
      <w:r w:rsidR="00570944">
        <w:rPr>
          <w:color w:val="000000"/>
          <w:sz w:val="22"/>
          <w:szCs w:val="22"/>
        </w:rPr>
        <w:t>’</w:t>
      </w:r>
      <w:r w:rsidR="00D207A9" w:rsidRPr="00D207A9">
        <w:rPr>
          <w:color w:val="000000"/>
          <w:sz w:val="22"/>
          <w:szCs w:val="22"/>
        </w:rPr>
        <w:t>enfants dans le monde se trouvent dans la région</w:t>
      </w:r>
      <w:r w:rsidR="00EB4365">
        <w:rPr>
          <w:color w:val="000000"/>
          <w:sz w:val="22"/>
          <w:szCs w:val="22"/>
        </w:rPr>
        <w:t xml:space="preserve"> AOC</w:t>
      </w:r>
      <w:r w:rsidR="00661F1B">
        <w:rPr>
          <w:color w:val="000000"/>
          <w:sz w:val="22"/>
          <w:szCs w:val="22"/>
        </w:rPr>
        <w:t xml:space="preserve">. </w:t>
      </w:r>
      <w:r w:rsidR="009360E1" w:rsidRPr="009360E1">
        <w:rPr>
          <w:color w:val="000000"/>
          <w:sz w:val="22"/>
          <w:szCs w:val="22"/>
        </w:rPr>
        <w:t>Dans la région</w:t>
      </w:r>
      <w:r w:rsidR="00EB4365">
        <w:rPr>
          <w:color w:val="000000"/>
          <w:sz w:val="22"/>
          <w:szCs w:val="22"/>
        </w:rPr>
        <w:t>,</w:t>
      </w:r>
      <w:r w:rsidR="009360E1" w:rsidRPr="009360E1">
        <w:rPr>
          <w:color w:val="000000"/>
          <w:sz w:val="22"/>
          <w:szCs w:val="22"/>
        </w:rPr>
        <w:t xml:space="preserve"> le fait d</w:t>
      </w:r>
      <w:r w:rsidR="00570944">
        <w:rPr>
          <w:color w:val="000000"/>
          <w:sz w:val="22"/>
          <w:szCs w:val="22"/>
        </w:rPr>
        <w:t>’</w:t>
      </w:r>
      <w:r w:rsidR="009360E1" w:rsidRPr="009360E1">
        <w:rPr>
          <w:color w:val="000000"/>
          <w:sz w:val="22"/>
          <w:szCs w:val="22"/>
        </w:rPr>
        <w:t>être mariée jeune est associé à une utilisation réduite des moyens de contraception modernes, à une fécondité plus élevée</w:t>
      </w:r>
      <w:r w:rsidR="002F05E3">
        <w:rPr>
          <w:color w:val="000000"/>
          <w:sz w:val="22"/>
          <w:szCs w:val="22"/>
        </w:rPr>
        <w:t>, et à la déscolarisation.</w:t>
      </w:r>
    </w:p>
    <w:p w14:paraId="4873388F" w14:textId="7B87FAFF" w:rsidR="0043718F" w:rsidRDefault="007F3D08">
      <w:pPr>
        <w:pStyle w:val="NormalWeb"/>
        <w:numPr>
          <w:ilvl w:val="0"/>
          <w:numId w:val="5"/>
        </w:numPr>
        <w:spacing w:after="120" w:afterAutospacing="0"/>
        <w:ind w:left="714" w:hanging="357"/>
        <w:jc w:val="both"/>
        <w:rPr>
          <w:color w:val="000000"/>
          <w:sz w:val="22"/>
          <w:szCs w:val="22"/>
        </w:rPr>
      </w:pPr>
      <w:r w:rsidRPr="0043718F">
        <w:rPr>
          <w:b/>
          <w:bCs/>
          <w:color w:val="000000"/>
          <w:sz w:val="22"/>
          <w:szCs w:val="22"/>
        </w:rPr>
        <w:t>Taux d</w:t>
      </w:r>
      <w:r w:rsidR="00570944">
        <w:rPr>
          <w:b/>
          <w:bCs/>
          <w:color w:val="000000"/>
          <w:sz w:val="22"/>
          <w:szCs w:val="22"/>
        </w:rPr>
        <w:t>’</w:t>
      </w:r>
      <w:r w:rsidRPr="0043718F">
        <w:rPr>
          <w:b/>
          <w:bCs/>
          <w:color w:val="000000"/>
          <w:sz w:val="22"/>
          <w:szCs w:val="22"/>
        </w:rPr>
        <w:t>achèvement scolaire</w:t>
      </w:r>
      <w:r w:rsidR="004757F9" w:rsidRPr="0043718F">
        <w:rPr>
          <w:color w:val="000000"/>
          <w:sz w:val="22"/>
          <w:szCs w:val="22"/>
        </w:rPr>
        <w:t xml:space="preserve"> : </w:t>
      </w:r>
      <w:r w:rsidR="005A683E" w:rsidRPr="0043718F">
        <w:rPr>
          <w:color w:val="000000"/>
          <w:sz w:val="22"/>
          <w:szCs w:val="22"/>
        </w:rPr>
        <w:t xml:space="preserve"> </w:t>
      </w:r>
      <w:r w:rsidR="004757F9" w:rsidRPr="0043718F">
        <w:rPr>
          <w:color w:val="000000"/>
          <w:sz w:val="22"/>
          <w:szCs w:val="22"/>
        </w:rPr>
        <w:t xml:space="preserve">La scolarisation de toutes les filles et les garçons reste un défi important </w:t>
      </w:r>
      <w:r w:rsidR="00CA505B" w:rsidRPr="0043718F">
        <w:rPr>
          <w:color w:val="000000"/>
          <w:sz w:val="22"/>
          <w:szCs w:val="22"/>
        </w:rPr>
        <w:t>dans la région</w:t>
      </w:r>
      <w:r w:rsidR="005A683E" w:rsidRPr="0043718F">
        <w:rPr>
          <w:color w:val="000000"/>
          <w:sz w:val="22"/>
          <w:szCs w:val="22"/>
        </w:rPr>
        <w:t>. En outre, u</w:t>
      </w:r>
      <w:r w:rsidR="004757F9" w:rsidRPr="0043718F">
        <w:rPr>
          <w:color w:val="000000"/>
          <w:sz w:val="22"/>
          <w:szCs w:val="22"/>
        </w:rPr>
        <w:t>n</w:t>
      </w:r>
      <w:r w:rsidR="00262F07" w:rsidRPr="0043718F">
        <w:rPr>
          <w:color w:val="000000"/>
          <w:sz w:val="22"/>
          <w:szCs w:val="22"/>
        </w:rPr>
        <w:t>e</w:t>
      </w:r>
      <w:r w:rsidR="004757F9" w:rsidRPr="0043718F">
        <w:rPr>
          <w:color w:val="000000"/>
          <w:sz w:val="22"/>
          <w:szCs w:val="22"/>
        </w:rPr>
        <w:t xml:space="preserve"> adolescente sur quatre et près d</w:t>
      </w:r>
      <w:r w:rsidR="00570944">
        <w:rPr>
          <w:color w:val="000000"/>
          <w:sz w:val="22"/>
          <w:szCs w:val="22"/>
        </w:rPr>
        <w:t>’</w:t>
      </w:r>
      <w:r w:rsidR="004757F9" w:rsidRPr="0043718F">
        <w:rPr>
          <w:color w:val="000000"/>
          <w:sz w:val="22"/>
          <w:szCs w:val="22"/>
        </w:rPr>
        <w:t xml:space="preserve">un adolescent sur </w:t>
      </w:r>
      <w:r w:rsidR="00DD638A">
        <w:rPr>
          <w:color w:val="000000"/>
          <w:sz w:val="22"/>
          <w:szCs w:val="22"/>
        </w:rPr>
        <w:t>cinq</w:t>
      </w:r>
      <w:r w:rsidR="004757F9" w:rsidRPr="0043718F">
        <w:rPr>
          <w:color w:val="000000"/>
          <w:sz w:val="22"/>
          <w:szCs w:val="22"/>
        </w:rPr>
        <w:t xml:space="preserve"> n</w:t>
      </w:r>
      <w:r w:rsidR="00570944">
        <w:rPr>
          <w:color w:val="000000"/>
          <w:sz w:val="22"/>
          <w:szCs w:val="22"/>
        </w:rPr>
        <w:t>’</w:t>
      </w:r>
      <w:r w:rsidR="004757F9" w:rsidRPr="0043718F">
        <w:rPr>
          <w:color w:val="000000"/>
          <w:sz w:val="22"/>
          <w:szCs w:val="22"/>
        </w:rPr>
        <w:t xml:space="preserve">a pas reçu </w:t>
      </w:r>
      <w:r w:rsidR="00262F07" w:rsidRPr="0043718F">
        <w:rPr>
          <w:color w:val="000000"/>
          <w:sz w:val="22"/>
          <w:szCs w:val="22"/>
        </w:rPr>
        <w:t>d</w:t>
      </w:r>
      <w:r w:rsidR="00570944">
        <w:rPr>
          <w:color w:val="000000"/>
          <w:sz w:val="22"/>
          <w:szCs w:val="22"/>
        </w:rPr>
        <w:t>’</w:t>
      </w:r>
      <w:r w:rsidR="00262F07" w:rsidRPr="0043718F">
        <w:rPr>
          <w:color w:val="000000"/>
          <w:sz w:val="22"/>
          <w:szCs w:val="22"/>
        </w:rPr>
        <w:t xml:space="preserve">éducation formelle ou de formation. </w:t>
      </w:r>
      <w:r w:rsidR="00EC7602" w:rsidRPr="00EC7602">
        <w:rPr>
          <w:color w:val="000000"/>
          <w:sz w:val="22"/>
          <w:szCs w:val="22"/>
        </w:rPr>
        <w:t>La disparité des taux d</w:t>
      </w:r>
      <w:r w:rsidR="00570944">
        <w:rPr>
          <w:color w:val="000000"/>
          <w:sz w:val="22"/>
          <w:szCs w:val="22"/>
        </w:rPr>
        <w:t>’</w:t>
      </w:r>
      <w:r w:rsidR="00EC7602" w:rsidRPr="00EC7602">
        <w:rPr>
          <w:color w:val="000000"/>
          <w:sz w:val="22"/>
          <w:szCs w:val="22"/>
        </w:rPr>
        <w:t xml:space="preserve">achèvement entre les </w:t>
      </w:r>
      <w:r w:rsidR="00EC7602" w:rsidRPr="00EC7602">
        <w:rPr>
          <w:color w:val="000000"/>
          <w:sz w:val="22"/>
          <w:szCs w:val="22"/>
        </w:rPr>
        <w:lastRenderedPageBreak/>
        <w:t>sexes se répercute sur le taux d</w:t>
      </w:r>
      <w:r w:rsidR="00570944">
        <w:rPr>
          <w:color w:val="000000"/>
          <w:sz w:val="22"/>
          <w:szCs w:val="22"/>
        </w:rPr>
        <w:t>’</w:t>
      </w:r>
      <w:r w:rsidR="00EC7602" w:rsidRPr="00EC7602">
        <w:rPr>
          <w:color w:val="000000"/>
          <w:sz w:val="22"/>
          <w:szCs w:val="22"/>
        </w:rPr>
        <w:t>alphabétisation des jeunes</w:t>
      </w:r>
      <w:r w:rsidR="00EC7602">
        <w:rPr>
          <w:color w:val="000000"/>
          <w:sz w:val="22"/>
          <w:szCs w:val="22"/>
        </w:rPr>
        <w:t xml:space="preserve"> </w:t>
      </w:r>
      <w:r w:rsidR="00EC7602" w:rsidRPr="00EC7602">
        <w:rPr>
          <w:color w:val="000000"/>
          <w:sz w:val="22"/>
          <w:szCs w:val="22"/>
        </w:rPr>
        <w:t xml:space="preserve">qui, en 2019, </w:t>
      </w:r>
      <w:r w:rsidR="00AF305D">
        <w:rPr>
          <w:color w:val="000000"/>
          <w:sz w:val="22"/>
          <w:szCs w:val="22"/>
        </w:rPr>
        <w:t>atteignait</w:t>
      </w:r>
      <w:r w:rsidR="00EC7602" w:rsidRPr="00EC7602">
        <w:rPr>
          <w:color w:val="000000"/>
          <w:sz w:val="22"/>
          <w:szCs w:val="22"/>
        </w:rPr>
        <w:t xml:space="preserve"> 73</w:t>
      </w:r>
      <w:r w:rsidR="00AF305D">
        <w:rPr>
          <w:color w:val="000000"/>
          <w:sz w:val="22"/>
          <w:szCs w:val="22"/>
        </w:rPr>
        <w:t xml:space="preserve"> </w:t>
      </w:r>
      <w:r w:rsidR="00EC7602" w:rsidRPr="00EC7602">
        <w:rPr>
          <w:color w:val="000000"/>
          <w:sz w:val="22"/>
          <w:szCs w:val="22"/>
        </w:rPr>
        <w:t>% pour les garçons et 60</w:t>
      </w:r>
      <w:r w:rsidR="00EC7602">
        <w:rPr>
          <w:color w:val="000000"/>
          <w:sz w:val="22"/>
          <w:szCs w:val="22"/>
        </w:rPr>
        <w:t xml:space="preserve"> </w:t>
      </w:r>
      <w:r w:rsidR="00EC7602" w:rsidRPr="00EC7602">
        <w:rPr>
          <w:color w:val="000000"/>
          <w:sz w:val="22"/>
          <w:szCs w:val="22"/>
        </w:rPr>
        <w:t>% pour les filles.</w:t>
      </w:r>
    </w:p>
    <w:p w14:paraId="0EBFF68B" w14:textId="0B021095" w:rsidR="00945F56" w:rsidRPr="00536980" w:rsidRDefault="00945F56">
      <w:pPr>
        <w:pStyle w:val="NormalWeb"/>
        <w:numPr>
          <w:ilvl w:val="0"/>
          <w:numId w:val="5"/>
        </w:numPr>
        <w:spacing w:after="120" w:afterAutospacing="0"/>
        <w:ind w:left="714" w:hanging="357"/>
        <w:jc w:val="both"/>
        <w:rPr>
          <w:color w:val="000000"/>
          <w:sz w:val="22"/>
          <w:szCs w:val="22"/>
        </w:rPr>
      </w:pPr>
      <w:r w:rsidRPr="00536980">
        <w:rPr>
          <w:b/>
          <w:bCs/>
          <w:color w:val="000000"/>
          <w:sz w:val="22"/>
          <w:szCs w:val="22"/>
        </w:rPr>
        <w:t>Inégalités en termes d</w:t>
      </w:r>
      <w:r w:rsidR="00570944">
        <w:rPr>
          <w:b/>
          <w:bCs/>
          <w:color w:val="000000"/>
          <w:sz w:val="22"/>
          <w:szCs w:val="22"/>
        </w:rPr>
        <w:t>’</w:t>
      </w:r>
      <w:r w:rsidRPr="00536980">
        <w:rPr>
          <w:b/>
          <w:bCs/>
          <w:color w:val="000000"/>
          <w:sz w:val="22"/>
          <w:szCs w:val="22"/>
        </w:rPr>
        <w:t>éducation et de scolarisation</w:t>
      </w:r>
      <w:r w:rsidR="00A578F6" w:rsidRPr="00536980">
        <w:rPr>
          <w:color w:val="000000"/>
          <w:sz w:val="22"/>
          <w:szCs w:val="22"/>
        </w:rPr>
        <w:t xml:space="preserve"> : </w:t>
      </w:r>
      <w:r w:rsidR="00E07868" w:rsidRPr="00536980">
        <w:rPr>
          <w:color w:val="000000"/>
          <w:sz w:val="22"/>
          <w:szCs w:val="22"/>
        </w:rPr>
        <w:t>les inégalités d</w:t>
      </w:r>
      <w:r w:rsidR="00570944">
        <w:rPr>
          <w:color w:val="000000"/>
          <w:sz w:val="22"/>
          <w:szCs w:val="22"/>
        </w:rPr>
        <w:t>’</w:t>
      </w:r>
      <w:r w:rsidR="00E07868" w:rsidRPr="00536980">
        <w:rPr>
          <w:color w:val="000000"/>
          <w:sz w:val="22"/>
          <w:szCs w:val="22"/>
        </w:rPr>
        <w:t>accès, de participation et d</w:t>
      </w:r>
      <w:r w:rsidR="00570944">
        <w:rPr>
          <w:color w:val="000000"/>
          <w:sz w:val="22"/>
          <w:szCs w:val="22"/>
        </w:rPr>
        <w:t>’</w:t>
      </w:r>
      <w:r w:rsidR="00E07868" w:rsidRPr="00536980">
        <w:rPr>
          <w:color w:val="000000"/>
          <w:sz w:val="22"/>
          <w:szCs w:val="22"/>
        </w:rPr>
        <w:t>achèvement de l</w:t>
      </w:r>
      <w:r w:rsidR="00570944">
        <w:rPr>
          <w:color w:val="000000"/>
          <w:sz w:val="22"/>
          <w:szCs w:val="22"/>
        </w:rPr>
        <w:t>’</w:t>
      </w:r>
      <w:r w:rsidR="00E07868" w:rsidRPr="00536980">
        <w:rPr>
          <w:color w:val="000000"/>
          <w:sz w:val="22"/>
          <w:szCs w:val="22"/>
        </w:rPr>
        <w:t>éducation sont marquées, avec, dans la majorité des pays, de</w:t>
      </w:r>
      <w:r w:rsidR="00536980">
        <w:rPr>
          <w:color w:val="000000"/>
          <w:sz w:val="22"/>
          <w:szCs w:val="22"/>
        </w:rPr>
        <w:t xml:space="preserve"> fortes</w:t>
      </w:r>
      <w:r w:rsidR="00E07868" w:rsidRPr="00536980">
        <w:rPr>
          <w:color w:val="000000"/>
          <w:sz w:val="22"/>
          <w:szCs w:val="22"/>
        </w:rPr>
        <w:t xml:space="preserve"> disparités </w:t>
      </w:r>
      <w:r w:rsidR="00B5264A">
        <w:rPr>
          <w:color w:val="000000"/>
          <w:sz w:val="22"/>
          <w:szCs w:val="22"/>
        </w:rPr>
        <w:t>entre les filles et les garçons</w:t>
      </w:r>
      <w:r w:rsidR="00E07868" w:rsidRPr="00536980">
        <w:rPr>
          <w:color w:val="000000"/>
          <w:sz w:val="22"/>
          <w:szCs w:val="22"/>
        </w:rPr>
        <w:t xml:space="preserve">, en </w:t>
      </w:r>
      <w:r w:rsidR="00536980">
        <w:rPr>
          <w:color w:val="000000"/>
          <w:sz w:val="22"/>
          <w:szCs w:val="22"/>
        </w:rPr>
        <w:t>faveur d</w:t>
      </w:r>
      <w:r w:rsidR="00B5264A">
        <w:rPr>
          <w:color w:val="000000"/>
          <w:sz w:val="22"/>
          <w:szCs w:val="22"/>
        </w:rPr>
        <w:t xml:space="preserve">e ces derniers </w:t>
      </w:r>
      <w:r w:rsidR="00E07868" w:rsidRPr="00536980">
        <w:rPr>
          <w:color w:val="000000"/>
          <w:sz w:val="22"/>
          <w:szCs w:val="22"/>
        </w:rPr>
        <w:t xml:space="preserve">; en outre, les </w:t>
      </w:r>
      <w:r w:rsidR="00A578F6" w:rsidRPr="00536980">
        <w:rPr>
          <w:color w:val="000000"/>
          <w:sz w:val="22"/>
          <w:szCs w:val="22"/>
        </w:rPr>
        <w:t xml:space="preserve">adolescents et les jeunes – en particulier les filles – </w:t>
      </w:r>
      <w:r w:rsidR="00E07868" w:rsidRPr="00536980">
        <w:rPr>
          <w:color w:val="000000"/>
          <w:sz w:val="22"/>
          <w:szCs w:val="22"/>
        </w:rPr>
        <w:t>vivant avec un handicap</w:t>
      </w:r>
      <w:r w:rsidR="00A578F6" w:rsidRPr="00536980">
        <w:rPr>
          <w:color w:val="000000"/>
          <w:sz w:val="22"/>
          <w:szCs w:val="22"/>
        </w:rPr>
        <w:t xml:space="preserve"> sont </w:t>
      </w:r>
      <w:r w:rsidR="00536980">
        <w:rPr>
          <w:color w:val="000000"/>
          <w:sz w:val="22"/>
          <w:szCs w:val="22"/>
        </w:rPr>
        <w:t xml:space="preserve">bien </w:t>
      </w:r>
      <w:r w:rsidR="00A578F6" w:rsidRPr="00536980">
        <w:rPr>
          <w:color w:val="000000"/>
          <w:sz w:val="22"/>
          <w:szCs w:val="22"/>
        </w:rPr>
        <w:t xml:space="preserve">moins susceptibles </w:t>
      </w:r>
      <w:r w:rsidR="00536980">
        <w:rPr>
          <w:color w:val="000000"/>
          <w:sz w:val="22"/>
          <w:szCs w:val="22"/>
        </w:rPr>
        <w:t xml:space="preserve">que leurs pairs </w:t>
      </w:r>
      <w:r w:rsidR="00A578F6" w:rsidRPr="00536980">
        <w:rPr>
          <w:color w:val="000000"/>
          <w:sz w:val="22"/>
          <w:szCs w:val="22"/>
        </w:rPr>
        <w:t>d</w:t>
      </w:r>
      <w:r w:rsidR="00570944">
        <w:rPr>
          <w:color w:val="000000"/>
          <w:sz w:val="22"/>
          <w:szCs w:val="22"/>
        </w:rPr>
        <w:t>’</w:t>
      </w:r>
      <w:r w:rsidR="00A578F6" w:rsidRPr="00536980">
        <w:rPr>
          <w:color w:val="000000"/>
          <w:sz w:val="22"/>
          <w:szCs w:val="22"/>
        </w:rPr>
        <w:t>être scolarisés et que leurs besoins soient pris en compte.</w:t>
      </w:r>
    </w:p>
    <w:p w14:paraId="6D88EE5B" w14:textId="46898DA2" w:rsidR="0043718F" w:rsidRDefault="007F3D08">
      <w:pPr>
        <w:pStyle w:val="NormalWeb"/>
        <w:numPr>
          <w:ilvl w:val="0"/>
          <w:numId w:val="5"/>
        </w:numPr>
        <w:spacing w:after="120" w:afterAutospacing="0"/>
        <w:ind w:left="714" w:hanging="357"/>
        <w:jc w:val="both"/>
        <w:rPr>
          <w:color w:val="000000"/>
          <w:sz w:val="22"/>
          <w:szCs w:val="22"/>
        </w:rPr>
      </w:pPr>
      <w:r w:rsidRPr="0043718F">
        <w:rPr>
          <w:b/>
          <w:bCs/>
          <w:color w:val="000000"/>
          <w:sz w:val="22"/>
          <w:szCs w:val="22"/>
        </w:rPr>
        <w:t>Précocité des premiers rapports sexuels</w:t>
      </w:r>
      <w:r w:rsidR="00DD21D3" w:rsidRPr="0043718F">
        <w:rPr>
          <w:b/>
          <w:bCs/>
          <w:color w:val="000000"/>
          <w:sz w:val="22"/>
          <w:szCs w:val="22"/>
        </w:rPr>
        <w:t xml:space="preserve"> : </w:t>
      </w:r>
      <w:r w:rsidR="00262F07" w:rsidRPr="0043718F">
        <w:rPr>
          <w:color w:val="000000"/>
          <w:sz w:val="22"/>
          <w:szCs w:val="22"/>
        </w:rPr>
        <w:t>Dans la plupart des pays, entre 5 et 25 % des jeunes filles ont eu un rapport sexuel à l</w:t>
      </w:r>
      <w:r w:rsidR="00570944">
        <w:rPr>
          <w:color w:val="000000"/>
          <w:sz w:val="22"/>
          <w:szCs w:val="22"/>
        </w:rPr>
        <w:t>’</w:t>
      </w:r>
      <w:r w:rsidR="00262F07" w:rsidRPr="0043718F">
        <w:rPr>
          <w:color w:val="000000"/>
          <w:sz w:val="22"/>
          <w:szCs w:val="22"/>
        </w:rPr>
        <w:t xml:space="preserve">âge de 14, ou avant. Ce pourcentage est, selon les </w:t>
      </w:r>
      <w:r w:rsidR="002F05E3">
        <w:rPr>
          <w:color w:val="000000"/>
          <w:sz w:val="22"/>
          <w:szCs w:val="22"/>
        </w:rPr>
        <w:t>pays</w:t>
      </w:r>
      <w:r w:rsidR="00262F07" w:rsidRPr="0043718F">
        <w:rPr>
          <w:color w:val="000000"/>
          <w:sz w:val="22"/>
          <w:szCs w:val="22"/>
        </w:rPr>
        <w:t>, similaire ou significativement plus élevé</w:t>
      </w:r>
      <w:r w:rsidR="00DD21D3" w:rsidRPr="0043718F">
        <w:rPr>
          <w:color w:val="000000"/>
          <w:sz w:val="22"/>
          <w:szCs w:val="22"/>
        </w:rPr>
        <w:t xml:space="preserve"> </w:t>
      </w:r>
      <w:r w:rsidR="00262F07" w:rsidRPr="0043718F">
        <w:rPr>
          <w:color w:val="000000"/>
          <w:sz w:val="22"/>
          <w:szCs w:val="22"/>
        </w:rPr>
        <w:t xml:space="preserve">que pour les garçons. </w:t>
      </w:r>
    </w:p>
    <w:p w14:paraId="6B9107C7" w14:textId="1C1AF15F" w:rsidR="0043718F" w:rsidRDefault="007F3D08">
      <w:pPr>
        <w:pStyle w:val="NormalWeb"/>
        <w:numPr>
          <w:ilvl w:val="0"/>
          <w:numId w:val="5"/>
        </w:numPr>
        <w:spacing w:after="120" w:afterAutospacing="0"/>
        <w:ind w:left="714" w:hanging="357"/>
        <w:jc w:val="both"/>
        <w:rPr>
          <w:color w:val="000000"/>
          <w:sz w:val="22"/>
          <w:szCs w:val="22"/>
        </w:rPr>
      </w:pPr>
      <w:r w:rsidRPr="0043718F">
        <w:rPr>
          <w:b/>
          <w:bCs/>
          <w:color w:val="000000"/>
          <w:sz w:val="22"/>
          <w:szCs w:val="22"/>
        </w:rPr>
        <w:t>Connaissance d</w:t>
      </w:r>
      <w:r w:rsidR="0098164D">
        <w:rPr>
          <w:b/>
          <w:bCs/>
          <w:color w:val="000000"/>
          <w:sz w:val="22"/>
          <w:szCs w:val="22"/>
        </w:rPr>
        <w:t>u cycle menstruel</w:t>
      </w:r>
      <w:r w:rsidR="00DD21D3" w:rsidRPr="0043718F">
        <w:rPr>
          <w:b/>
          <w:bCs/>
          <w:color w:val="000000"/>
          <w:sz w:val="22"/>
          <w:szCs w:val="22"/>
        </w:rPr>
        <w:t xml:space="preserve"> : </w:t>
      </w:r>
      <w:r w:rsidR="00204974" w:rsidRPr="0043718F">
        <w:rPr>
          <w:color w:val="000000"/>
          <w:sz w:val="22"/>
          <w:szCs w:val="22"/>
        </w:rPr>
        <w:t>Un grand nombre de jeunes filles et de femmes ne possède pas les connaissances concernant leur période de fécondité. Il n</w:t>
      </w:r>
      <w:r w:rsidR="00570944">
        <w:rPr>
          <w:color w:val="000000"/>
          <w:sz w:val="22"/>
          <w:szCs w:val="22"/>
        </w:rPr>
        <w:t>’</w:t>
      </w:r>
      <w:r w:rsidR="00204974" w:rsidRPr="0043718F">
        <w:rPr>
          <w:color w:val="000000"/>
          <w:sz w:val="22"/>
          <w:szCs w:val="22"/>
        </w:rPr>
        <w:t xml:space="preserve">y a que deux pays dans lesquels les femmes ont un degré de connaissance satisfaisant sur cette question.  </w:t>
      </w:r>
    </w:p>
    <w:p w14:paraId="073665B1" w14:textId="6F2C0533" w:rsidR="00755C3A" w:rsidRDefault="00A4025F">
      <w:pPr>
        <w:pStyle w:val="NormalWeb"/>
        <w:numPr>
          <w:ilvl w:val="0"/>
          <w:numId w:val="5"/>
        </w:numPr>
        <w:spacing w:after="120" w:afterAutospacing="0"/>
        <w:ind w:left="714" w:hanging="357"/>
        <w:jc w:val="both"/>
        <w:rPr>
          <w:color w:val="000000"/>
          <w:sz w:val="22"/>
          <w:szCs w:val="22"/>
        </w:rPr>
      </w:pPr>
      <w:r w:rsidRPr="00A300FF">
        <w:rPr>
          <w:b/>
          <w:bCs/>
          <w:color w:val="000000"/>
          <w:sz w:val="22"/>
          <w:szCs w:val="22"/>
        </w:rPr>
        <w:t>Accès</w:t>
      </w:r>
      <w:r w:rsidR="009E47DE" w:rsidRPr="00A300FF">
        <w:rPr>
          <w:b/>
          <w:bCs/>
          <w:color w:val="000000"/>
          <w:sz w:val="22"/>
          <w:szCs w:val="22"/>
        </w:rPr>
        <w:t xml:space="preserve"> limité</w:t>
      </w:r>
      <w:r w:rsidRPr="00A300FF">
        <w:rPr>
          <w:b/>
          <w:bCs/>
          <w:color w:val="000000"/>
          <w:sz w:val="22"/>
          <w:szCs w:val="22"/>
        </w:rPr>
        <w:t xml:space="preserve"> à la santé menstruelle :</w:t>
      </w:r>
      <w:r>
        <w:rPr>
          <w:color w:val="000000"/>
          <w:sz w:val="22"/>
          <w:szCs w:val="22"/>
        </w:rPr>
        <w:t xml:space="preserve"> Un grand nombre de </w:t>
      </w:r>
      <w:r w:rsidR="009E47DE">
        <w:rPr>
          <w:color w:val="000000"/>
          <w:sz w:val="22"/>
          <w:szCs w:val="22"/>
        </w:rPr>
        <w:t>jeunes filles</w:t>
      </w:r>
      <w:r>
        <w:rPr>
          <w:color w:val="000000"/>
          <w:sz w:val="22"/>
          <w:szCs w:val="22"/>
        </w:rPr>
        <w:t xml:space="preserve"> dans la région AOC</w:t>
      </w:r>
      <w:r w:rsidRPr="00A4025F">
        <w:rPr>
          <w:color w:val="000000"/>
          <w:sz w:val="22"/>
          <w:szCs w:val="22"/>
        </w:rPr>
        <w:t xml:space="preserve"> n</w:t>
      </w:r>
      <w:r w:rsidR="00570944">
        <w:rPr>
          <w:color w:val="000000"/>
          <w:sz w:val="22"/>
          <w:szCs w:val="22"/>
        </w:rPr>
        <w:t>’</w:t>
      </w:r>
      <w:r w:rsidRPr="00A4025F">
        <w:rPr>
          <w:color w:val="000000"/>
          <w:sz w:val="22"/>
          <w:szCs w:val="22"/>
        </w:rPr>
        <w:t>ont pas accès à des installations adéquates</w:t>
      </w:r>
      <w:r w:rsidR="00332A17">
        <w:rPr>
          <w:color w:val="000000"/>
          <w:sz w:val="22"/>
          <w:szCs w:val="22"/>
        </w:rPr>
        <w:t xml:space="preserve"> ainsi qu</w:t>
      </w:r>
      <w:r w:rsidR="00570944">
        <w:rPr>
          <w:color w:val="000000"/>
          <w:sz w:val="22"/>
          <w:szCs w:val="22"/>
        </w:rPr>
        <w:t>’</w:t>
      </w:r>
      <w:r w:rsidR="00332A17">
        <w:rPr>
          <w:color w:val="000000"/>
          <w:sz w:val="22"/>
          <w:szCs w:val="22"/>
        </w:rPr>
        <w:t xml:space="preserve">aux protections périodiques </w:t>
      </w:r>
      <w:r w:rsidR="009E47DE">
        <w:rPr>
          <w:color w:val="000000"/>
          <w:sz w:val="22"/>
          <w:szCs w:val="22"/>
        </w:rPr>
        <w:t xml:space="preserve">nécessaires </w:t>
      </w:r>
      <w:r w:rsidRPr="00A4025F">
        <w:rPr>
          <w:color w:val="000000"/>
          <w:sz w:val="22"/>
          <w:szCs w:val="22"/>
        </w:rPr>
        <w:t xml:space="preserve">pour la </w:t>
      </w:r>
      <w:r w:rsidR="00661F1B">
        <w:rPr>
          <w:color w:val="000000"/>
          <w:sz w:val="22"/>
          <w:szCs w:val="22"/>
        </w:rPr>
        <w:t>santé menstruelle</w:t>
      </w:r>
      <w:r w:rsidR="00332A17">
        <w:rPr>
          <w:color w:val="000000"/>
          <w:sz w:val="22"/>
          <w:szCs w:val="22"/>
        </w:rPr>
        <w:t xml:space="preserve">. Cette </w:t>
      </w:r>
      <w:r w:rsidR="00CA1099">
        <w:rPr>
          <w:color w:val="000000"/>
          <w:sz w:val="22"/>
          <w:szCs w:val="22"/>
        </w:rPr>
        <w:t>situation particulière</w:t>
      </w:r>
      <w:r w:rsidR="00CF3D45">
        <w:rPr>
          <w:color w:val="000000"/>
          <w:sz w:val="22"/>
          <w:szCs w:val="22"/>
        </w:rPr>
        <w:t>, ainsi que le stigma associé aux menstruations</w:t>
      </w:r>
      <w:r w:rsidR="00F73B2E">
        <w:rPr>
          <w:color w:val="000000"/>
          <w:sz w:val="22"/>
          <w:szCs w:val="22"/>
        </w:rPr>
        <w:t xml:space="preserve"> – source de harcèlement – a</w:t>
      </w:r>
      <w:r w:rsidR="00337C07">
        <w:rPr>
          <w:color w:val="000000"/>
          <w:sz w:val="22"/>
          <w:szCs w:val="22"/>
        </w:rPr>
        <w:t xml:space="preserve">ffecte </w:t>
      </w:r>
      <w:r w:rsidR="00CF3D45">
        <w:rPr>
          <w:color w:val="000000"/>
          <w:sz w:val="22"/>
          <w:szCs w:val="22"/>
        </w:rPr>
        <w:t xml:space="preserve">de manière considérable </w:t>
      </w:r>
      <w:r w:rsidR="00337C07">
        <w:rPr>
          <w:color w:val="000000"/>
          <w:sz w:val="22"/>
          <w:szCs w:val="22"/>
        </w:rPr>
        <w:t xml:space="preserve">l’apprentissage des jeunes filles et résulte souvent en </w:t>
      </w:r>
      <w:r w:rsidR="00CF3D45">
        <w:rPr>
          <w:color w:val="000000"/>
          <w:sz w:val="22"/>
          <w:szCs w:val="22"/>
        </w:rPr>
        <w:t xml:space="preserve">un </w:t>
      </w:r>
      <w:r w:rsidR="00332A17">
        <w:rPr>
          <w:color w:val="000000"/>
          <w:sz w:val="22"/>
          <w:szCs w:val="22"/>
        </w:rPr>
        <w:t>absentéisme</w:t>
      </w:r>
      <w:r w:rsidR="00CF3D45">
        <w:rPr>
          <w:color w:val="000000"/>
          <w:sz w:val="22"/>
          <w:szCs w:val="22"/>
        </w:rPr>
        <w:t xml:space="preserve"> accru</w:t>
      </w:r>
      <w:r w:rsidR="00F73B2E">
        <w:rPr>
          <w:color w:val="000000"/>
          <w:sz w:val="22"/>
          <w:szCs w:val="22"/>
        </w:rPr>
        <w:t xml:space="preserve"> et des </w:t>
      </w:r>
      <w:r w:rsidR="00661F1B">
        <w:rPr>
          <w:color w:val="000000"/>
          <w:sz w:val="22"/>
          <w:szCs w:val="22"/>
        </w:rPr>
        <w:t>abandons</w:t>
      </w:r>
      <w:r w:rsidR="00F73B2E">
        <w:rPr>
          <w:color w:val="000000"/>
          <w:sz w:val="22"/>
          <w:szCs w:val="22"/>
        </w:rPr>
        <w:t xml:space="preserve"> scolaires</w:t>
      </w:r>
      <w:r w:rsidR="005278DF">
        <w:rPr>
          <w:color w:val="000000"/>
          <w:sz w:val="22"/>
          <w:szCs w:val="22"/>
        </w:rPr>
        <w:t xml:space="preserve">. </w:t>
      </w:r>
    </w:p>
    <w:p w14:paraId="34D5CA39" w14:textId="6F28B1B5" w:rsidR="0043718F" w:rsidRDefault="0081055E">
      <w:pPr>
        <w:pStyle w:val="NormalWeb"/>
        <w:numPr>
          <w:ilvl w:val="0"/>
          <w:numId w:val="5"/>
        </w:numPr>
        <w:spacing w:after="120" w:afterAutospacing="0"/>
        <w:ind w:left="714" w:hanging="357"/>
        <w:jc w:val="both"/>
        <w:rPr>
          <w:color w:val="000000"/>
          <w:sz w:val="22"/>
          <w:szCs w:val="22"/>
        </w:rPr>
      </w:pPr>
      <w:r>
        <w:rPr>
          <w:b/>
          <w:bCs/>
          <w:color w:val="000000"/>
          <w:sz w:val="22"/>
          <w:szCs w:val="22"/>
        </w:rPr>
        <w:t>Besoins non satisfaits en matière de</w:t>
      </w:r>
      <w:r w:rsidR="00060530" w:rsidRPr="0043718F">
        <w:rPr>
          <w:b/>
          <w:bCs/>
          <w:color w:val="000000"/>
          <w:sz w:val="22"/>
          <w:szCs w:val="22"/>
        </w:rPr>
        <w:t xml:space="preserve"> planification familiale</w:t>
      </w:r>
      <w:r>
        <w:rPr>
          <w:b/>
          <w:bCs/>
          <w:color w:val="000000"/>
          <w:sz w:val="22"/>
          <w:szCs w:val="22"/>
        </w:rPr>
        <w:t xml:space="preserve"> </w:t>
      </w:r>
      <w:r w:rsidR="00DD21D3" w:rsidRPr="0043718F">
        <w:rPr>
          <w:b/>
          <w:bCs/>
          <w:color w:val="000000"/>
          <w:sz w:val="22"/>
          <w:szCs w:val="22"/>
        </w:rPr>
        <w:t xml:space="preserve">: </w:t>
      </w:r>
      <w:r w:rsidR="00204974" w:rsidRPr="0043718F">
        <w:rPr>
          <w:color w:val="000000"/>
          <w:sz w:val="22"/>
          <w:szCs w:val="22"/>
        </w:rPr>
        <w:t xml:space="preserve">Seules deux femmes sur cinq, âgées de 15 à 49 ans, </w:t>
      </w:r>
      <w:r w:rsidR="001528B6" w:rsidRPr="0043718F">
        <w:rPr>
          <w:color w:val="000000"/>
          <w:sz w:val="22"/>
          <w:szCs w:val="22"/>
        </w:rPr>
        <w:t>voient leur</w:t>
      </w:r>
      <w:r w:rsidR="00DD21D3" w:rsidRPr="0043718F">
        <w:rPr>
          <w:color w:val="000000"/>
          <w:sz w:val="22"/>
          <w:szCs w:val="22"/>
        </w:rPr>
        <w:t>s</w:t>
      </w:r>
      <w:r w:rsidR="001528B6" w:rsidRPr="0043718F">
        <w:rPr>
          <w:color w:val="000000"/>
          <w:sz w:val="22"/>
          <w:szCs w:val="22"/>
        </w:rPr>
        <w:t xml:space="preserve"> besoin</w:t>
      </w:r>
      <w:r w:rsidR="00DD21D3" w:rsidRPr="0043718F">
        <w:rPr>
          <w:color w:val="000000"/>
          <w:sz w:val="22"/>
          <w:szCs w:val="22"/>
        </w:rPr>
        <w:t>s</w:t>
      </w:r>
      <w:r w:rsidR="001528B6" w:rsidRPr="0043718F">
        <w:rPr>
          <w:color w:val="000000"/>
          <w:sz w:val="22"/>
          <w:szCs w:val="22"/>
        </w:rPr>
        <w:t xml:space="preserve"> en planification familiale avec des méthodes modernes de contraception</w:t>
      </w:r>
      <w:r w:rsidR="00DD21D3" w:rsidRPr="0043718F">
        <w:rPr>
          <w:color w:val="000000"/>
          <w:sz w:val="22"/>
          <w:szCs w:val="22"/>
        </w:rPr>
        <w:t xml:space="preserve"> satisfaits</w:t>
      </w:r>
      <w:r w:rsidR="001528B6" w:rsidRPr="0043718F">
        <w:rPr>
          <w:color w:val="000000"/>
          <w:sz w:val="22"/>
          <w:szCs w:val="22"/>
        </w:rPr>
        <w:t xml:space="preserve">. </w:t>
      </w:r>
    </w:p>
    <w:p w14:paraId="59E588E9" w14:textId="7FF6E4DB" w:rsidR="009A0C84" w:rsidRPr="003B195D" w:rsidRDefault="00DD21D3">
      <w:pPr>
        <w:pStyle w:val="NormalWeb"/>
        <w:numPr>
          <w:ilvl w:val="0"/>
          <w:numId w:val="5"/>
        </w:numPr>
        <w:spacing w:after="120" w:afterAutospacing="0"/>
        <w:ind w:left="714" w:hanging="357"/>
        <w:jc w:val="both"/>
        <w:rPr>
          <w:color w:val="000000"/>
          <w:sz w:val="22"/>
          <w:szCs w:val="22"/>
        </w:rPr>
      </w:pPr>
      <w:r w:rsidRPr="0043718F">
        <w:rPr>
          <w:b/>
          <w:bCs/>
          <w:color w:val="000000"/>
          <w:sz w:val="22"/>
          <w:szCs w:val="22"/>
        </w:rPr>
        <w:t>La c</w:t>
      </w:r>
      <w:r w:rsidR="007F3D08" w:rsidRPr="0043718F">
        <w:rPr>
          <w:b/>
          <w:bCs/>
          <w:color w:val="000000"/>
          <w:sz w:val="22"/>
          <w:szCs w:val="22"/>
        </w:rPr>
        <w:t xml:space="preserve">onsommation </w:t>
      </w:r>
      <w:r w:rsidR="00492EEF">
        <w:rPr>
          <w:b/>
          <w:bCs/>
          <w:color w:val="000000"/>
          <w:sz w:val="22"/>
          <w:szCs w:val="22"/>
        </w:rPr>
        <w:t>de</w:t>
      </w:r>
      <w:r w:rsidR="007F3D08" w:rsidRPr="0043718F">
        <w:rPr>
          <w:b/>
          <w:bCs/>
          <w:color w:val="000000"/>
          <w:sz w:val="22"/>
          <w:szCs w:val="22"/>
        </w:rPr>
        <w:t xml:space="preserve"> substances psychoactives</w:t>
      </w:r>
      <w:r w:rsidR="00FC33FD" w:rsidRPr="0043718F">
        <w:rPr>
          <w:b/>
          <w:bCs/>
          <w:color w:val="000000"/>
          <w:sz w:val="22"/>
          <w:szCs w:val="22"/>
        </w:rPr>
        <w:t xml:space="preserve"> </w:t>
      </w:r>
      <w:r w:rsidR="00492EEF">
        <w:rPr>
          <w:b/>
          <w:bCs/>
          <w:color w:val="000000"/>
          <w:sz w:val="22"/>
          <w:szCs w:val="22"/>
        </w:rPr>
        <w:t xml:space="preserve">(alcool, tabac et autres substances) </w:t>
      </w:r>
      <w:r w:rsidR="00FC33FD" w:rsidRPr="0043718F">
        <w:rPr>
          <w:b/>
          <w:bCs/>
          <w:color w:val="000000"/>
          <w:sz w:val="22"/>
          <w:szCs w:val="22"/>
        </w:rPr>
        <w:t>chez les adolescents</w:t>
      </w:r>
      <w:r w:rsidR="00FC33FD" w:rsidRPr="0043718F">
        <w:rPr>
          <w:color w:val="000000"/>
          <w:sz w:val="22"/>
          <w:szCs w:val="22"/>
        </w:rPr>
        <w:t xml:space="preserve"> : </w:t>
      </w:r>
      <w:r w:rsidR="00492EEF" w:rsidRPr="00492EEF">
        <w:rPr>
          <w:color w:val="000000"/>
          <w:sz w:val="22"/>
          <w:szCs w:val="22"/>
        </w:rPr>
        <w:t>l</w:t>
      </w:r>
      <w:r w:rsidR="00522A32" w:rsidRPr="00492EEF">
        <w:rPr>
          <w:color w:val="000000"/>
          <w:sz w:val="22"/>
          <w:szCs w:val="22"/>
        </w:rPr>
        <w:t>a consommation de substances psychoactives</w:t>
      </w:r>
      <w:r w:rsidR="00661F1B">
        <w:rPr>
          <w:color w:val="000000"/>
          <w:sz w:val="22"/>
          <w:szCs w:val="22"/>
        </w:rPr>
        <w:t xml:space="preserve"> tend à renforcer les comportements à risque,</w:t>
      </w:r>
      <w:r w:rsidR="00522A32" w:rsidRPr="00492EEF">
        <w:rPr>
          <w:color w:val="000000"/>
          <w:sz w:val="22"/>
          <w:szCs w:val="22"/>
        </w:rPr>
        <w:t xml:space="preserve"> nuit </w:t>
      </w:r>
      <w:r w:rsidR="00661F1B">
        <w:rPr>
          <w:color w:val="000000"/>
          <w:sz w:val="22"/>
          <w:szCs w:val="22"/>
        </w:rPr>
        <w:t>à la santé et</w:t>
      </w:r>
      <w:r w:rsidR="00522A32" w:rsidRPr="00492EEF">
        <w:rPr>
          <w:color w:val="000000"/>
          <w:sz w:val="22"/>
          <w:szCs w:val="22"/>
        </w:rPr>
        <w:t xml:space="preserve"> à l</w:t>
      </w:r>
      <w:r w:rsidR="00570944">
        <w:rPr>
          <w:color w:val="000000"/>
          <w:sz w:val="22"/>
          <w:szCs w:val="22"/>
        </w:rPr>
        <w:t>’</w:t>
      </w:r>
      <w:r w:rsidR="00522A32" w:rsidRPr="00492EEF">
        <w:rPr>
          <w:color w:val="000000"/>
          <w:sz w:val="22"/>
          <w:szCs w:val="22"/>
        </w:rPr>
        <w:t>éducation</w:t>
      </w:r>
      <w:r w:rsidR="0044130C">
        <w:rPr>
          <w:color w:val="000000"/>
          <w:sz w:val="22"/>
          <w:szCs w:val="22"/>
        </w:rPr>
        <w:t> </w:t>
      </w:r>
      <w:r w:rsidR="00661F1B">
        <w:rPr>
          <w:color w:val="000000"/>
          <w:sz w:val="22"/>
          <w:szCs w:val="22"/>
        </w:rPr>
        <w:t>des usagers</w:t>
      </w:r>
      <w:r w:rsidR="009F37A0" w:rsidRPr="00492EEF">
        <w:rPr>
          <w:color w:val="000000"/>
          <w:sz w:val="22"/>
          <w:szCs w:val="22"/>
        </w:rPr>
        <w:t>.</w:t>
      </w:r>
      <w:r w:rsidR="00492EEF">
        <w:rPr>
          <w:color w:val="000000"/>
          <w:sz w:val="22"/>
          <w:szCs w:val="22"/>
        </w:rPr>
        <w:t xml:space="preserve"> </w:t>
      </w:r>
      <w:r w:rsidR="00492EEF" w:rsidRPr="00492EEF">
        <w:rPr>
          <w:color w:val="000000"/>
          <w:sz w:val="22"/>
          <w:szCs w:val="22"/>
        </w:rPr>
        <w:t>En moyenne,</w:t>
      </w:r>
      <w:r w:rsidR="00492EEF">
        <w:rPr>
          <w:color w:val="000000"/>
          <w:sz w:val="22"/>
          <w:szCs w:val="22"/>
        </w:rPr>
        <w:t xml:space="preserve"> dans </w:t>
      </w:r>
      <w:r w:rsidR="00661F1B">
        <w:rPr>
          <w:color w:val="000000"/>
          <w:sz w:val="22"/>
          <w:szCs w:val="22"/>
        </w:rPr>
        <w:t>les pays de la région où la vente d’alcool est autorisée</w:t>
      </w:r>
      <w:r w:rsidR="00492EEF">
        <w:rPr>
          <w:color w:val="000000"/>
          <w:sz w:val="22"/>
          <w:szCs w:val="22"/>
        </w:rPr>
        <w:t>,</w:t>
      </w:r>
      <w:r w:rsidR="00492EEF" w:rsidRPr="00492EEF">
        <w:rPr>
          <w:color w:val="000000"/>
          <w:sz w:val="22"/>
          <w:szCs w:val="22"/>
        </w:rPr>
        <w:t xml:space="preserve"> un adolescent sur quatre consomme de l</w:t>
      </w:r>
      <w:r w:rsidR="00570944">
        <w:rPr>
          <w:color w:val="000000"/>
          <w:sz w:val="22"/>
          <w:szCs w:val="22"/>
        </w:rPr>
        <w:t>’</w:t>
      </w:r>
      <w:r w:rsidR="00492EEF" w:rsidRPr="00492EEF">
        <w:rPr>
          <w:color w:val="000000"/>
          <w:sz w:val="22"/>
          <w:szCs w:val="22"/>
        </w:rPr>
        <w:t>alcool</w:t>
      </w:r>
      <w:r w:rsidR="00E14610">
        <w:rPr>
          <w:color w:val="000000"/>
          <w:sz w:val="22"/>
          <w:szCs w:val="22"/>
        </w:rPr>
        <w:t xml:space="preserve">. </w:t>
      </w:r>
      <w:r w:rsidR="000A2846">
        <w:rPr>
          <w:color w:val="000000"/>
          <w:sz w:val="22"/>
          <w:szCs w:val="22"/>
        </w:rPr>
        <w:t>D</w:t>
      </w:r>
      <w:r w:rsidR="00451975" w:rsidRPr="003B195D">
        <w:rPr>
          <w:color w:val="000000"/>
          <w:sz w:val="22"/>
          <w:szCs w:val="22"/>
        </w:rPr>
        <w:t xml:space="preserve">es données </w:t>
      </w:r>
      <w:r w:rsidR="000A2846">
        <w:rPr>
          <w:color w:val="000000"/>
          <w:sz w:val="22"/>
          <w:szCs w:val="22"/>
        </w:rPr>
        <w:t>anecdotiques suggèrent que la consommation d’</w:t>
      </w:r>
      <w:r w:rsidR="00F55BB1">
        <w:rPr>
          <w:color w:val="000000"/>
          <w:sz w:val="22"/>
          <w:szCs w:val="22"/>
        </w:rPr>
        <w:t xml:space="preserve">autres </w:t>
      </w:r>
      <w:r w:rsidR="000A2846">
        <w:rPr>
          <w:color w:val="000000"/>
          <w:sz w:val="22"/>
          <w:szCs w:val="22"/>
        </w:rPr>
        <w:t xml:space="preserve">substances psychoactives </w:t>
      </w:r>
      <w:r w:rsidR="00F55BB1">
        <w:rPr>
          <w:color w:val="000000"/>
          <w:sz w:val="22"/>
          <w:szCs w:val="22"/>
        </w:rPr>
        <w:t>(</w:t>
      </w:r>
      <w:r w:rsidR="000A2846">
        <w:rPr>
          <w:color w:val="000000"/>
          <w:sz w:val="22"/>
          <w:szCs w:val="22"/>
        </w:rPr>
        <w:t xml:space="preserve">e.g. </w:t>
      </w:r>
      <w:r w:rsidR="00F55BB1">
        <w:rPr>
          <w:color w:val="000000"/>
          <w:sz w:val="22"/>
          <w:szCs w:val="22"/>
        </w:rPr>
        <w:t xml:space="preserve">cannabis, stimulants, etc.) </w:t>
      </w:r>
      <w:r w:rsidR="000A2846">
        <w:rPr>
          <w:color w:val="000000"/>
          <w:sz w:val="22"/>
          <w:szCs w:val="22"/>
        </w:rPr>
        <w:t>est en augmentation.</w:t>
      </w:r>
    </w:p>
    <w:p w14:paraId="280C530B" w14:textId="005A41FE" w:rsidR="0043718F" w:rsidRPr="0086351D" w:rsidRDefault="007F3D08" w:rsidP="006B4F74">
      <w:pPr>
        <w:pStyle w:val="NormalWeb"/>
        <w:numPr>
          <w:ilvl w:val="0"/>
          <w:numId w:val="5"/>
        </w:numPr>
        <w:spacing w:after="120" w:afterAutospacing="0"/>
        <w:ind w:left="714" w:hanging="357"/>
        <w:jc w:val="both"/>
        <w:rPr>
          <w:color w:val="000000"/>
          <w:sz w:val="22"/>
          <w:szCs w:val="22"/>
        </w:rPr>
      </w:pPr>
      <w:r w:rsidRPr="0086351D">
        <w:rPr>
          <w:b/>
          <w:bCs/>
          <w:color w:val="000000"/>
          <w:sz w:val="22"/>
          <w:szCs w:val="22"/>
        </w:rPr>
        <w:t>Violences basées sur le genre</w:t>
      </w:r>
      <w:r w:rsidR="00DD21D3" w:rsidRPr="0086351D">
        <w:rPr>
          <w:color w:val="000000"/>
          <w:sz w:val="22"/>
          <w:szCs w:val="22"/>
        </w:rPr>
        <w:t xml:space="preserve"> : </w:t>
      </w:r>
      <w:r w:rsidR="00E9764A" w:rsidRPr="0086351D">
        <w:rPr>
          <w:sz w:val="22"/>
          <w:szCs w:val="22"/>
        </w:rPr>
        <w:t xml:space="preserve">Le harcèlement, la violence et les violences basées sur le genre (VBG) sont </w:t>
      </w:r>
      <w:r w:rsidR="00904681" w:rsidRPr="0086351D">
        <w:rPr>
          <w:sz w:val="22"/>
          <w:szCs w:val="22"/>
        </w:rPr>
        <w:t>très présents dans la région</w:t>
      </w:r>
      <w:r w:rsidR="00226E15">
        <w:rPr>
          <w:sz w:val="22"/>
          <w:szCs w:val="22"/>
        </w:rPr>
        <w:t xml:space="preserve"> et sont souvent renforcés par des normes de genre qui </w:t>
      </w:r>
      <w:r w:rsidR="008D76A2">
        <w:rPr>
          <w:sz w:val="22"/>
          <w:szCs w:val="22"/>
        </w:rPr>
        <w:t>justifient ces violences</w:t>
      </w:r>
      <w:r w:rsidR="00904681" w:rsidRPr="0086351D">
        <w:rPr>
          <w:sz w:val="22"/>
          <w:szCs w:val="22"/>
        </w:rPr>
        <w:t xml:space="preserve">. </w:t>
      </w:r>
      <w:r w:rsidR="008D76A2">
        <w:rPr>
          <w:color w:val="000000"/>
          <w:sz w:val="22"/>
          <w:szCs w:val="22"/>
        </w:rPr>
        <w:t>Ainsi, e</w:t>
      </w:r>
      <w:r w:rsidR="00904681" w:rsidRPr="0086351D">
        <w:rPr>
          <w:color w:val="000000"/>
          <w:sz w:val="22"/>
          <w:szCs w:val="22"/>
        </w:rPr>
        <w:t xml:space="preserve">n moyenne, </w:t>
      </w:r>
      <w:r w:rsidR="005A683E" w:rsidRPr="0086351D">
        <w:rPr>
          <w:color w:val="000000"/>
          <w:sz w:val="22"/>
          <w:szCs w:val="22"/>
        </w:rPr>
        <w:t>près de la moitié des filles et plus d</w:t>
      </w:r>
      <w:r w:rsidR="00570944">
        <w:rPr>
          <w:color w:val="000000"/>
          <w:sz w:val="22"/>
          <w:szCs w:val="22"/>
        </w:rPr>
        <w:t>’</w:t>
      </w:r>
      <w:r w:rsidR="005A683E" w:rsidRPr="0086351D">
        <w:rPr>
          <w:color w:val="000000"/>
          <w:sz w:val="22"/>
          <w:szCs w:val="22"/>
        </w:rPr>
        <w:t xml:space="preserve">un tiers des garçons tentent de justifier le fait de battre sa femme. </w:t>
      </w:r>
    </w:p>
    <w:p w14:paraId="5AAF9CDD" w14:textId="4CCE3540" w:rsidR="0043718F" w:rsidRDefault="007F3D08" w:rsidP="006B4F74">
      <w:pPr>
        <w:pStyle w:val="NormalWeb"/>
        <w:numPr>
          <w:ilvl w:val="0"/>
          <w:numId w:val="5"/>
        </w:numPr>
        <w:spacing w:after="120" w:afterAutospacing="0"/>
        <w:ind w:left="714" w:hanging="357"/>
        <w:jc w:val="both"/>
        <w:rPr>
          <w:color w:val="000000"/>
          <w:sz w:val="22"/>
          <w:szCs w:val="22"/>
        </w:rPr>
      </w:pPr>
      <w:r w:rsidRPr="0043718F">
        <w:rPr>
          <w:b/>
          <w:bCs/>
          <w:color w:val="000000"/>
          <w:sz w:val="22"/>
          <w:szCs w:val="22"/>
        </w:rPr>
        <w:t>Mutilations génitales féminines</w:t>
      </w:r>
      <w:r w:rsidR="00DD21D3" w:rsidRPr="0043718F">
        <w:rPr>
          <w:color w:val="000000"/>
          <w:sz w:val="22"/>
          <w:szCs w:val="22"/>
        </w:rPr>
        <w:t xml:space="preserve"> : </w:t>
      </w:r>
      <w:r w:rsidR="00FC33FD" w:rsidRPr="0043718F">
        <w:rPr>
          <w:color w:val="000000"/>
          <w:sz w:val="22"/>
          <w:szCs w:val="22"/>
        </w:rPr>
        <w:t>Le pourcentage d</w:t>
      </w:r>
      <w:r w:rsidR="00570944">
        <w:rPr>
          <w:color w:val="000000"/>
          <w:sz w:val="22"/>
          <w:szCs w:val="22"/>
        </w:rPr>
        <w:t>’</w:t>
      </w:r>
      <w:r w:rsidR="00FC33FD" w:rsidRPr="0043718F">
        <w:rPr>
          <w:color w:val="000000"/>
          <w:sz w:val="22"/>
          <w:szCs w:val="22"/>
        </w:rPr>
        <w:t xml:space="preserve">adolescentes, âgées de 15 à 19 ans, qui subissent des MGF varie de moins de 1 % à plus de 90 % à travers </w:t>
      </w:r>
      <w:r w:rsidR="000A2846">
        <w:rPr>
          <w:color w:val="000000"/>
          <w:sz w:val="22"/>
          <w:szCs w:val="22"/>
        </w:rPr>
        <w:t xml:space="preserve">les pays de </w:t>
      </w:r>
      <w:r w:rsidR="00FC33FD" w:rsidRPr="0043718F">
        <w:rPr>
          <w:color w:val="000000"/>
          <w:sz w:val="22"/>
          <w:szCs w:val="22"/>
        </w:rPr>
        <w:t>l</w:t>
      </w:r>
      <w:r w:rsidR="00570944">
        <w:rPr>
          <w:color w:val="000000"/>
          <w:sz w:val="22"/>
          <w:szCs w:val="22"/>
        </w:rPr>
        <w:t>’</w:t>
      </w:r>
      <w:r w:rsidR="00FC33FD" w:rsidRPr="0043718F">
        <w:rPr>
          <w:color w:val="000000"/>
          <w:sz w:val="22"/>
          <w:szCs w:val="22"/>
        </w:rPr>
        <w:t xml:space="preserve">AOC. </w:t>
      </w:r>
    </w:p>
    <w:p w14:paraId="4D3A056C" w14:textId="692BC39E" w:rsidR="00201D28" w:rsidRPr="001D7EEC" w:rsidRDefault="00657DFF" w:rsidP="006B4F74">
      <w:pPr>
        <w:pStyle w:val="NormalWeb"/>
        <w:numPr>
          <w:ilvl w:val="0"/>
          <w:numId w:val="5"/>
        </w:numPr>
        <w:spacing w:after="120" w:afterAutospacing="0"/>
        <w:ind w:left="714" w:hanging="357"/>
        <w:jc w:val="both"/>
        <w:rPr>
          <w:color w:val="000000"/>
          <w:sz w:val="22"/>
          <w:szCs w:val="22"/>
        </w:rPr>
      </w:pPr>
      <w:r w:rsidRPr="00415585">
        <w:rPr>
          <w:b/>
          <w:bCs/>
          <w:color w:val="000000"/>
          <w:sz w:val="22"/>
          <w:szCs w:val="22"/>
        </w:rPr>
        <w:t>Nouvelles infections au VIH</w:t>
      </w:r>
      <w:r w:rsidR="00415585" w:rsidRPr="00415585">
        <w:rPr>
          <w:b/>
          <w:bCs/>
          <w:color w:val="000000"/>
          <w:sz w:val="22"/>
          <w:szCs w:val="22"/>
        </w:rPr>
        <w:t xml:space="preserve"> et connaissances sur le VIH</w:t>
      </w:r>
      <w:r w:rsidR="00DD21D3" w:rsidRPr="00415585">
        <w:rPr>
          <w:color w:val="000000"/>
          <w:sz w:val="22"/>
          <w:szCs w:val="22"/>
        </w:rPr>
        <w:t xml:space="preserve"> : </w:t>
      </w:r>
      <w:r w:rsidR="005A683E" w:rsidRPr="00415585">
        <w:rPr>
          <w:color w:val="000000"/>
          <w:sz w:val="22"/>
          <w:szCs w:val="22"/>
        </w:rPr>
        <w:t>Les adolescentes sont</w:t>
      </w:r>
      <w:r w:rsidR="000A2846">
        <w:rPr>
          <w:color w:val="000000"/>
          <w:sz w:val="22"/>
          <w:szCs w:val="22"/>
        </w:rPr>
        <w:t xml:space="preserve"> plus</w:t>
      </w:r>
      <w:r w:rsidR="005A683E" w:rsidRPr="00415585">
        <w:rPr>
          <w:color w:val="000000"/>
          <w:sz w:val="22"/>
          <w:szCs w:val="22"/>
        </w:rPr>
        <w:t xml:space="preserve"> exp</w:t>
      </w:r>
      <w:r w:rsidR="000A2846">
        <w:rPr>
          <w:color w:val="000000"/>
          <w:sz w:val="22"/>
          <w:szCs w:val="22"/>
        </w:rPr>
        <w:t xml:space="preserve">osées à un risque d’infection à </w:t>
      </w:r>
      <w:r w:rsidR="005A683E" w:rsidRPr="00415585">
        <w:rPr>
          <w:color w:val="000000"/>
          <w:sz w:val="22"/>
          <w:szCs w:val="22"/>
        </w:rPr>
        <w:t xml:space="preserve">VIH. </w:t>
      </w:r>
      <w:r w:rsidR="00FC33FD" w:rsidRPr="00415585">
        <w:rPr>
          <w:color w:val="000000"/>
          <w:sz w:val="22"/>
          <w:szCs w:val="22"/>
        </w:rPr>
        <w:t>L</w:t>
      </w:r>
      <w:r w:rsidR="008515FE" w:rsidRPr="00415585">
        <w:rPr>
          <w:color w:val="000000"/>
          <w:sz w:val="22"/>
          <w:szCs w:val="22"/>
        </w:rPr>
        <w:t xml:space="preserve">e niveau </w:t>
      </w:r>
      <w:r w:rsidR="00FC33FD" w:rsidRPr="00415585">
        <w:rPr>
          <w:color w:val="000000"/>
          <w:sz w:val="22"/>
          <w:szCs w:val="22"/>
        </w:rPr>
        <w:t>de connaissance sur le VIH</w:t>
      </w:r>
      <w:r w:rsidR="002F05E3">
        <w:rPr>
          <w:color w:val="000000"/>
          <w:sz w:val="22"/>
          <w:szCs w:val="22"/>
        </w:rPr>
        <w:t xml:space="preserve"> et le SIDA</w:t>
      </w:r>
      <w:r w:rsidR="00FC33FD" w:rsidRPr="00415585">
        <w:rPr>
          <w:color w:val="000000"/>
          <w:sz w:val="22"/>
          <w:szCs w:val="22"/>
        </w:rPr>
        <w:t xml:space="preserve"> </w:t>
      </w:r>
      <w:r w:rsidR="008515FE" w:rsidRPr="00415585">
        <w:rPr>
          <w:color w:val="000000"/>
          <w:sz w:val="22"/>
          <w:szCs w:val="22"/>
        </w:rPr>
        <w:t>chez</w:t>
      </w:r>
      <w:r w:rsidR="00FC33FD" w:rsidRPr="00415585">
        <w:rPr>
          <w:color w:val="000000"/>
          <w:sz w:val="22"/>
          <w:szCs w:val="22"/>
        </w:rPr>
        <w:t xml:space="preserve"> les adolescents, filles comme garçons, </w:t>
      </w:r>
      <w:r w:rsidR="008515FE" w:rsidRPr="00415585">
        <w:rPr>
          <w:color w:val="000000"/>
          <w:sz w:val="22"/>
          <w:szCs w:val="22"/>
        </w:rPr>
        <w:t xml:space="preserve">reste extrêmement faible : </w:t>
      </w:r>
      <w:r w:rsidR="00FE6138">
        <w:rPr>
          <w:color w:val="000000"/>
          <w:sz w:val="22"/>
          <w:szCs w:val="22"/>
        </w:rPr>
        <w:t>e</w:t>
      </w:r>
      <w:r w:rsidR="00FE6138" w:rsidRPr="00FE6138">
        <w:rPr>
          <w:color w:val="000000"/>
          <w:sz w:val="22"/>
          <w:szCs w:val="22"/>
        </w:rPr>
        <w:t>n AOC, seul</w:t>
      </w:r>
      <w:r w:rsidR="00FE6138">
        <w:rPr>
          <w:color w:val="000000"/>
          <w:sz w:val="22"/>
          <w:szCs w:val="22"/>
        </w:rPr>
        <w:t>s</w:t>
      </w:r>
      <w:r w:rsidR="00FE6138" w:rsidRPr="00FE6138">
        <w:rPr>
          <w:color w:val="000000"/>
          <w:sz w:val="22"/>
          <w:szCs w:val="22"/>
        </w:rPr>
        <w:t xml:space="preserve"> 24</w:t>
      </w:r>
      <w:r w:rsidR="00FE6138">
        <w:rPr>
          <w:color w:val="000000"/>
          <w:sz w:val="22"/>
          <w:szCs w:val="22"/>
        </w:rPr>
        <w:t xml:space="preserve"> </w:t>
      </w:r>
      <w:r w:rsidR="00FE6138" w:rsidRPr="00FE6138">
        <w:rPr>
          <w:color w:val="000000"/>
          <w:sz w:val="22"/>
          <w:szCs w:val="22"/>
        </w:rPr>
        <w:t>% des garçons et 22</w:t>
      </w:r>
      <w:r w:rsidR="00FE6138">
        <w:rPr>
          <w:color w:val="000000"/>
          <w:sz w:val="22"/>
          <w:szCs w:val="22"/>
        </w:rPr>
        <w:t xml:space="preserve"> </w:t>
      </w:r>
      <w:r w:rsidR="00FE6138" w:rsidRPr="00FE6138">
        <w:rPr>
          <w:color w:val="000000"/>
          <w:sz w:val="22"/>
          <w:szCs w:val="22"/>
        </w:rPr>
        <w:t xml:space="preserve">% des filles de 15 à 19 ans </w:t>
      </w:r>
      <w:r w:rsidR="00FE6138">
        <w:rPr>
          <w:color w:val="000000"/>
          <w:sz w:val="22"/>
          <w:szCs w:val="22"/>
        </w:rPr>
        <w:t xml:space="preserve">disposent de connaissances </w:t>
      </w:r>
      <w:r w:rsidR="00FE6138" w:rsidRPr="00FE6138">
        <w:rPr>
          <w:color w:val="000000"/>
          <w:sz w:val="22"/>
          <w:szCs w:val="22"/>
        </w:rPr>
        <w:t>complète</w:t>
      </w:r>
      <w:r w:rsidR="00FE6138">
        <w:rPr>
          <w:color w:val="000000"/>
          <w:sz w:val="22"/>
          <w:szCs w:val="22"/>
        </w:rPr>
        <w:t>s</w:t>
      </w:r>
      <w:r w:rsidR="00FE6138" w:rsidRPr="00FE6138">
        <w:rPr>
          <w:color w:val="000000"/>
          <w:sz w:val="22"/>
          <w:szCs w:val="22"/>
        </w:rPr>
        <w:t xml:space="preserve"> sur le VIH </w:t>
      </w:r>
      <w:r w:rsidR="00FE6138">
        <w:rPr>
          <w:color w:val="000000"/>
          <w:sz w:val="22"/>
          <w:szCs w:val="22"/>
        </w:rPr>
        <w:t xml:space="preserve">et </w:t>
      </w:r>
      <w:r w:rsidR="00FE6138" w:rsidRPr="001D7EEC">
        <w:rPr>
          <w:color w:val="000000"/>
          <w:sz w:val="22"/>
          <w:szCs w:val="22"/>
        </w:rPr>
        <w:t>le SIDA.</w:t>
      </w:r>
    </w:p>
    <w:p w14:paraId="79E2BD88" w14:textId="4EA7367E" w:rsidR="00201D28" w:rsidRPr="000B15F1" w:rsidRDefault="001D16DA" w:rsidP="000B15F1">
      <w:pPr>
        <w:pStyle w:val="NormalWeb"/>
        <w:numPr>
          <w:ilvl w:val="0"/>
          <w:numId w:val="5"/>
        </w:numPr>
        <w:spacing w:after="120" w:afterAutospacing="0"/>
        <w:ind w:left="714" w:hanging="357"/>
        <w:jc w:val="both"/>
        <w:rPr>
          <w:color w:val="000000"/>
          <w:sz w:val="22"/>
          <w:szCs w:val="22"/>
        </w:rPr>
      </w:pPr>
      <w:r w:rsidRPr="001D7EEC">
        <w:rPr>
          <w:b/>
          <w:bCs/>
          <w:sz w:val="22"/>
          <w:szCs w:val="22"/>
        </w:rPr>
        <w:t>Risques associés à l</w:t>
      </w:r>
      <w:r w:rsidR="00570944">
        <w:rPr>
          <w:b/>
          <w:bCs/>
          <w:sz w:val="22"/>
          <w:szCs w:val="22"/>
        </w:rPr>
        <w:t>’</w:t>
      </w:r>
      <w:r w:rsidRPr="001D7EEC">
        <w:rPr>
          <w:b/>
          <w:bCs/>
          <w:sz w:val="22"/>
          <w:szCs w:val="22"/>
        </w:rPr>
        <w:t>utilisation d</w:t>
      </w:r>
      <w:r w:rsidR="00570944">
        <w:rPr>
          <w:b/>
          <w:bCs/>
          <w:sz w:val="22"/>
          <w:szCs w:val="22"/>
        </w:rPr>
        <w:t>’</w:t>
      </w:r>
      <w:r w:rsidRPr="001D7EEC">
        <w:rPr>
          <w:b/>
          <w:bCs/>
          <w:sz w:val="22"/>
          <w:szCs w:val="22"/>
        </w:rPr>
        <w:t>Internet</w:t>
      </w:r>
      <w:r w:rsidRPr="001D7EEC">
        <w:rPr>
          <w:sz w:val="22"/>
          <w:szCs w:val="22"/>
        </w:rPr>
        <w:t xml:space="preserve"> : </w:t>
      </w:r>
      <w:r w:rsidRPr="001D7EEC">
        <w:rPr>
          <w:color w:val="000000"/>
          <w:sz w:val="22"/>
          <w:szCs w:val="22"/>
        </w:rPr>
        <w:t xml:space="preserve">Internet </w:t>
      </w:r>
      <w:r w:rsidR="000A2846">
        <w:rPr>
          <w:color w:val="000000"/>
          <w:sz w:val="22"/>
          <w:szCs w:val="22"/>
        </w:rPr>
        <w:t xml:space="preserve">présente à la fois un </w:t>
      </w:r>
      <w:r w:rsidR="000B15F1">
        <w:rPr>
          <w:color w:val="000000"/>
          <w:sz w:val="22"/>
          <w:szCs w:val="22"/>
        </w:rPr>
        <w:t xml:space="preserve">vaste </w:t>
      </w:r>
      <w:r w:rsidR="000A2846">
        <w:rPr>
          <w:color w:val="000000"/>
          <w:sz w:val="22"/>
          <w:szCs w:val="22"/>
        </w:rPr>
        <w:t xml:space="preserve">potentiel </w:t>
      </w:r>
      <w:r w:rsidR="000B15F1">
        <w:rPr>
          <w:color w:val="000000"/>
          <w:sz w:val="22"/>
          <w:szCs w:val="22"/>
        </w:rPr>
        <w:t>pour le développement des adolescents et des jeunes, et une source importante d’exposition à de nouveaux</w:t>
      </w:r>
      <w:r w:rsidRPr="000B15F1">
        <w:rPr>
          <w:color w:val="000000"/>
          <w:sz w:val="22"/>
          <w:szCs w:val="22"/>
        </w:rPr>
        <w:t xml:space="preserve"> risques et dangers, en particulier à des contenus sexuellement explicites, </w:t>
      </w:r>
      <w:r w:rsidR="008D0E02" w:rsidRPr="000B15F1">
        <w:rPr>
          <w:color w:val="000000"/>
          <w:sz w:val="22"/>
          <w:szCs w:val="22"/>
        </w:rPr>
        <w:t>néfastes</w:t>
      </w:r>
      <w:r w:rsidRPr="000B15F1">
        <w:rPr>
          <w:color w:val="000000"/>
          <w:sz w:val="22"/>
          <w:szCs w:val="22"/>
        </w:rPr>
        <w:t xml:space="preserve"> ou inappropriés, </w:t>
      </w:r>
      <w:r w:rsidR="006F636E" w:rsidRPr="000B15F1">
        <w:rPr>
          <w:color w:val="000000"/>
          <w:sz w:val="22"/>
          <w:szCs w:val="22"/>
        </w:rPr>
        <w:t>à</w:t>
      </w:r>
      <w:r w:rsidR="0064719A" w:rsidRPr="000B15F1">
        <w:rPr>
          <w:color w:val="000000"/>
          <w:sz w:val="22"/>
          <w:szCs w:val="22"/>
        </w:rPr>
        <w:t xml:space="preserve"> des prédateurs en ligne</w:t>
      </w:r>
      <w:r w:rsidR="006F636E" w:rsidRPr="000B15F1">
        <w:rPr>
          <w:color w:val="000000"/>
          <w:sz w:val="22"/>
          <w:szCs w:val="22"/>
        </w:rPr>
        <w:t xml:space="preserve">, à </w:t>
      </w:r>
      <w:r w:rsidR="0064719A" w:rsidRPr="000B15F1">
        <w:rPr>
          <w:color w:val="000000"/>
          <w:sz w:val="22"/>
          <w:szCs w:val="22"/>
        </w:rPr>
        <w:t xml:space="preserve">du cyberharcèlement, </w:t>
      </w:r>
      <w:r w:rsidR="000B15F1">
        <w:rPr>
          <w:color w:val="000000"/>
          <w:sz w:val="22"/>
          <w:szCs w:val="22"/>
        </w:rPr>
        <w:t>ou à des informations grossièrement erronées</w:t>
      </w:r>
      <w:r w:rsidRPr="000B15F1">
        <w:rPr>
          <w:color w:val="000000"/>
          <w:sz w:val="22"/>
          <w:szCs w:val="22"/>
        </w:rPr>
        <w:t>. L</w:t>
      </w:r>
      <w:r w:rsidR="00570944" w:rsidRPr="000B15F1">
        <w:rPr>
          <w:color w:val="000000"/>
          <w:sz w:val="22"/>
          <w:szCs w:val="22"/>
        </w:rPr>
        <w:t>’</w:t>
      </w:r>
      <w:r w:rsidRPr="000B15F1">
        <w:rPr>
          <w:color w:val="000000"/>
          <w:sz w:val="22"/>
          <w:szCs w:val="22"/>
        </w:rPr>
        <w:t xml:space="preserve">accès aux contenus numériques étant </w:t>
      </w:r>
      <w:r w:rsidR="00EC14C2" w:rsidRPr="000B15F1">
        <w:rPr>
          <w:color w:val="000000"/>
          <w:sz w:val="22"/>
          <w:szCs w:val="22"/>
        </w:rPr>
        <w:t>facilité par l</w:t>
      </w:r>
      <w:r w:rsidR="00570944" w:rsidRPr="000B15F1">
        <w:rPr>
          <w:color w:val="000000"/>
          <w:sz w:val="22"/>
          <w:szCs w:val="22"/>
        </w:rPr>
        <w:t>’</w:t>
      </w:r>
      <w:r w:rsidR="00EC14C2" w:rsidRPr="000B15F1">
        <w:rPr>
          <w:color w:val="000000"/>
          <w:sz w:val="22"/>
          <w:szCs w:val="22"/>
        </w:rPr>
        <w:t>utilisation exponentielle des</w:t>
      </w:r>
      <w:r w:rsidRPr="000B15F1">
        <w:rPr>
          <w:color w:val="000000"/>
          <w:sz w:val="22"/>
          <w:szCs w:val="22"/>
        </w:rPr>
        <w:t xml:space="preserve"> dispositifs mobiles, l</w:t>
      </w:r>
      <w:r w:rsidR="00570944" w:rsidRPr="000B15F1">
        <w:rPr>
          <w:color w:val="000000"/>
          <w:sz w:val="22"/>
          <w:szCs w:val="22"/>
        </w:rPr>
        <w:t>’</w:t>
      </w:r>
      <w:r w:rsidRPr="000B15F1">
        <w:rPr>
          <w:color w:val="000000"/>
          <w:sz w:val="22"/>
          <w:szCs w:val="22"/>
        </w:rPr>
        <w:t>accès à Internet est moins surveillé et potentiellement plus dangereux.</w:t>
      </w:r>
    </w:p>
    <w:p w14:paraId="3C27E4BE" w14:textId="3E51ED5F" w:rsidR="009E47DE" w:rsidRPr="001D7EEC" w:rsidRDefault="009E47DE">
      <w:pPr>
        <w:pStyle w:val="NormalWeb"/>
        <w:numPr>
          <w:ilvl w:val="0"/>
          <w:numId w:val="5"/>
        </w:numPr>
        <w:spacing w:after="120" w:afterAutospacing="0"/>
        <w:ind w:left="714" w:hanging="357"/>
        <w:jc w:val="both"/>
        <w:rPr>
          <w:color w:val="000000"/>
          <w:sz w:val="22"/>
          <w:szCs w:val="22"/>
        </w:rPr>
      </w:pPr>
      <w:r>
        <w:rPr>
          <w:b/>
          <w:bCs/>
          <w:sz w:val="22"/>
          <w:szCs w:val="22"/>
        </w:rPr>
        <w:t>Accès limité aux services de santé</w:t>
      </w:r>
      <w:r w:rsidR="006B4F74">
        <w:rPr>
          <w:b/>
          <w:bCs/>
          <w:sz w:val="22"/>
          <w:szCs w:val="22"/>
        </w:rPr>
        <w:t xml:space="preserve"> sexuelle et reproductive (SSR)</w:t>
      </w:r>
      <w:r>
        <w:rPr>
          <w:b/>
          <w:bCs/>
          <w:sz w:val="22"/>
          <w:szCs w:val="22"/>
        </w:rPr>
        <w:t> :</w:t>
      </w:r>
      <w:r>
        <w:rPr>
          <w:color w:val="000000"/>
          <w:sz w:val="22"/>
          <w:szCs w:val="22"/>
        </w:rPr>
        <w:t xml:space="preserve"> </w:t>
      </w:r>
      <w:r w:rsidRPr="009E47DE">
        <w:rPr>
          <w:color w:val="000000"/>
          <w:sz w:val="22"/>
          <w:szCs w:val="22"/>
        </w:rPr>
        <w:t>le manque d</w:t>
      </w:r>
      <w:r w:rsidR="00570944">
        <w:rPr>
          <w:color w:val="000000"/>
          <w:sz w:val="22"/>
          <w:szCs w:val="22"/>
        </w:rPr>
        <w:t>’</w:t>
      </w:r>
      <w:r w:rsidRPr="009E47DE">
        <w:rPr>
          <w:color w:val="000000"/>
          <w:sz w:val="22"/>
          <w:szCs w:val="22"/>
        </w:rPr>
        <w:t xml:space="preserve">accès aux services de santé </w:t>
      </w:r>
      <w:r>
        <w:rPr>
          <w:color w:val="000000"/>
          <w:sz w:val="22"/>
          <w:szCs w:val="22"/>
        </w:rPr>
        <w:t>de la reproduction par les jeunes</w:t>
      </w:r>
      <w:r w:rsidR="005278DF">
        <w:rPr>
          <w:color w:val="000000"/>
          <w:sz w:val="22"/>
          <w:szCs w:val="22"/>
        </w:rPr>
        <w:t>,</w:t>
      </w:r>
      <w:r>
        <w:rPr>
          <w:color w:val="000000"/>
          <w:sz w:val="22"/>
          <w:szCs w:val="22"/>
        </w:rPr>
        <w:t xml:space="preserve"> et en particulier les jeunes filles</w:t>
      </w:r>
      <w:r w:rsidR="005278DF">
        <w:rPr>
          <w:color w:val="000000"/>
          <w:sz w:val="22"/>
          <w:szCs w:val="22"/>
        </w:rPr>
        <w:t>,</w:t>
      </w:r>
      <w:r>
        <w:rPr>
          <w:color w:val="000000"/>
          <w:sz w:val="22"/>
          <w:szCs w:val="22"/>
        </w:rPr>
        <w:t xml:space="preserve"> </w:t>
      </w:r>
      <w:r w:rsidRPr="009E47DE">
        <w:rPr>
          <w:color w:val="000000"/>
          <w:sz w:val="22"/>
          <w:szCs w:val="22"/>
        </w:rPr>
        <w:t>augmente le risque de grossesse non désirée chez les adolescentes, d</w:t>
      </w:r>
      <w:r w:rsidR="00570944">
        <w:rPr>
          <w:color w:val="000000"/>
          <w:sz w:val="22"/>
          <w:szCs w:val="22"/>
        </w:rPr>
        <w:t>’</w:t>
      </w:r>
      <w:r w:rsidRPr="009E47DE">
        <w:rPr>
          <w:color w:val="000000"/>
          <w:sz w:val="22"/>
          <w:szCs w:val="22"/>
        </w:rPr>
        <w:t>avortement à risque, de VIH ou d</w:t>
      </w:r>
      <w:r w:rsidR="00570944">
        <w:rPr>
          <w:color w:val="000000"/>
          <w:sz w:val="22"/>
          <w:szCs w:val="22"/>
        </w:rPr>
        <w:t>’</w:t>
      </w:r>
      <w:r w:rsidRPr="009E47DE">
        <w:rPr>
          <w:color w:val="000000"/>
          <w:sz w:val="22"/>
          <w:szCs w:val="22"/>
        </w:rPr>
        <w:t>autres I</w:t>
      </w:r>
      <w:r>
        <w:rPr>
          <w:color w:val="000000"/>
          <w:sz w:val="22"/>
          <w:szCs w:val="22"/>
        </w:rPr>
        <w:t>ST</w:t>
      </w:r>
      <w:r w:rsidR="005278DF">
        <w:rPr>
          <w:color w:val="000000"/>
          <w:sz w:val="22"/>
          <w:szCs w:val="22"/>
        </w:rPr>
        <w:t xml:space="preserve"> ; </w:t>
      </w:r>
      <w:r w:rsidR="005278DF" w:rsidRPr="009E47DE">
        <w:rPr>
          <w:color w:val="000000"/>
          <w:sz w:val="22"/>
          <w:szCs w:val="22"/>
        </w:rPr>
        <w:t xml:space="preserve"> </w:t>
      </w:r>
      <w:r>
        <w:rPr>
          <w:color w:val="000000"/>
          <w:sz w:val="22"/>
          <w:szCs w:val="22"/>
        </w:rPr>
        <w:t xml:space="preserve">cela </w:t>
      </w:r>
      <w:r w:rsidR="005278DF">
        <w:rPr>
          <w:color w:val="000000"/>
          <w:sz w:val="22"/>
          <w:szCs w:val="22"/>
        </w:rPr>
        <w:t xml:space="preserve">entraîne </w:t>
      </w:r>
      <w:r w:rsidRPr="009E47DE">
        <w:rPr>
          <w:color w:val="000000"/>
          <w:sz w:val="22"/>
          <w:szCs w:val="22"/>
        </w:rPr>
        <w:t xml:space="preserve">également </w:t>
      </w:r>
      <w:r>
        <w:rPr>
          <w:color w:val="000000"/>
          <w:sz w:val="22"/>
          <w:szCs w:val="22"/>
        </w:rPr>
        <w:t xml:space="preserve">un </w:t>
      </w:r>
      <w:r w:rsidRPr="009E47DE">
        <w:rPr>
          <w:color w:val="000000"/>
          <w:sz w:val="22"/>
          <w:szCs w:val="22"/>
        </w:rPr>
        <w:t xml:space="preserve">manque de confiance en soi </w:t>
      </w:r>
      <w:r>
        <w:rPr>
          <w:color w:val="000000"/>
          <w:sz w:val="22"/>
          <w:szCs w:val="22"/>
        </w:rPr>
        <w:t>notamment pour aborder</w:t>
      </w:r>
      <w:r w:rsidRPr="009E47DE">
        <w:rPr>
          <w:color w:val="000000"/>
          <w:sz w:val="22"/>
          <w:szCs w:val="22"/>
        </w:rPr>
        <w:t xml:space="preserve"> </w:t>
      </w:r>
      <w:r>
        <w:rPr>
          <w:color w:val="000000"/>
          <w:sz w:val="22"/>
          <w:szCs w:val="22"/>
        </w:rPr>
        <w:lastRenderedPageBreak/>
        <w:t>les</w:t>
      </w:r>
      <w:r w:rsidRPr="009E47DE">
        <w:rPr>
          <w:color w:val="000000"/>
          <w:sz w:val="22"/>
          <w:szCs w:val="22"/>
        </w:rPr>
        <w:t xml:space="preserve"> questions</w:t>
      </w:r>
      <w:r>
        <w:rPr>
          <w:color w:val="000000"/>
          <w:sz w:val="22"/>
          <w:szCs w:val="22"/>
        </w:rPr>
        <w:t xml:space="preserve"> de sexualité</w:t>
      </w:r>
      <w:r w:rsidRPr="009E47DE">
        <w:rPr>
          <w:color w:val="000000"/>
          <w:sz w:val="22"/>
          <w:szCs w:val="22"/>
        </w:rPr>
        <w:t xml:space="preserve"> et réduit particulièrement les chances des filles d</w:t>
      </w:r>
      <w:r w:rsidR="00570944">
        <w:rPr>
          <w:color w:val="000000"/>
          <w:sz w:val="22"/>
          <w:szCs w:val="22"/>
        </w:rPr>
        <w:t>’</w:t>
      </w:r>
      <w:r w:rsidRPr="009E47DE">
        <w:rPr>
          <w:color w:val="000000"/>
          <w:sz w:val="22"/>
          <w:szCs w:val="22"/>
        </w:rPr>
        <w:t xml:space="preserve">avoir accès à des informations précises et de qualité sur la </w:t>
      </w:r>
      <w:r w:rsidR="000542BD">
        <w:rPr>
          <w:color w:val="000000"/>
          <w:sz w:val="22"/>
          <w:szCs w:val="22"/>
        </w:rPr>
        <w:t>SSR</w:t>
      </w:r>
      <w:r w:rsidRPr="009E47DE">
        <w:rPr>
          <w:color w:val="000000"/>
          <w:sz w:val="22"/>
          <w:szCs w:val="22"/>
        </w:rPr>
        <w:t>.</w:t>
      </w:r>
    </w:p>
    <w:p w14:paraId="239A9514" w14:textId="08CA9699" w:rsidR="0051263F" w:rsidRPr="00D94555" w:rsidRDefault="008515FE">
      <w:pPr>
        <w:pStyle w:val="NormalWeb"/>
        <w:spacing w:after="120" w:afterAutospacing="0"/>
        <w:jc w:val="both"/>
        <w:rPr>
          <w:b/>
          <w:bCs/>
          <w:color w:val="000000"/>
          <w:sz w:val="22"/>
          <w:szCs w:val="22"/>
        </w:rPr>
      </w:pPr>
      <w:r w:rsidRPr="00415585">
        <w:rPr>
          <w:color w:val="000000"/>
          <w:sz w:val="22"/>
          <w:szCs w:val="22"/>
        </w:rPr>
        <w:t xml:space="preserve"> </w:t>
      </w:r>
      <w:r w:rsidR="0029190C" w:rsidRPr="00D94555">
        <w:rPr>
          <w:b/>
          <w:bCs/>
          <w:color w:val="000000"/>
          <w:sz w:val="22"/>
          <w:szCs w:val="22"/>
        </w:rPr>
        <w:t xml:space="preserve">2.2 </w:t>
      </w:r>
      <w:r w:rsidR="00736FD3" w:rsidRPr="00D94555">
        <w:rPr>
          <w:b/>
          <w:bCs/>
          <w:color w:val="000000"/>
          <w:sz w:val="22"/>
          <w:szCs w:val="22"/>
        </w:rPr>
        <w:t>Opportunités</w:t>
      </w:r>
    </w:p>
    <w:p w14:paraId="68E447EF" w14:textId="623EBBBE" w:rsidR="00C3420F" w:rsidRPr="00B454D2" w:rsidRDefault="008A31D4">
      <w:pPr>
        <w:pStyle w:val="ListParagraph"/>
        <w:numPr>
          <w:ilvl w:val="0"/>
          <w:numId w:val="6"/>
        </w:numPr>
        <w:spacing w:after="120"/>
        <w:ind w:left="714" w:hanging="357"/>
        <w:contextualSpacing w:val="0"/>
        <w:jc w:val="both"/>
        <w:rPr>
          <w:rFonts w:ascii="Times New Roman" w:eastAsia="Times New Roman" w:hAnsi="Times New Roman" w:cs="Times New Roman"/>
          <w:color w:val="000000"/>
          <w:lang w:eastAsia="fr-FR"/>
        </w:rPr>
      </w:pPr>
      <w:r w:rsidRPr="00C3420F">
        <w:rPr>
          <w:rFonts w:ascii="Times New Roman" w:eastAsia="Times New Roman" w:hAnsi="Times New Roman" w:cs="Times New Roman"/>
          <w:color w:val="000000"/>
          <w:lang w:eastAsia="fr-FR"/>
        </w:rPr>
        <w:t>Investir dans la santé et l</w:t>
      </w:r>
      <w:r w:rsidR="00570944">
        <w:rPr>
          <w:rFonts w:ascii="Times New Roman" w:eastAsia="Times New Roman" w:hAnsi="Times New Roman" w:cs="Times New Roman"/>
          <w:color w:val="000000"/>
          <w:lang w:eastAsia="fr-FR"/>
        </w:rPr>
        <w:t>’</w:t>
      </w:r>
      <w:r w:rsidRPr="00C3420F">
        <w:rPr>
          <w:rFonts w:ascii="Times New Roman" w:eastAsia="Times New Roman" w:hAnsi="Times New Roman" w:cs="Times New Roman"/>
          <w:color w:val="000000"/>
          <w:lang w:eastAsia="fr-FR"/>
        </w:rPr>
        <w:t xml:space="preserve">éducation contribue à la réalisation du </w:t>
      </w:r>
      <w:r w:rsidRPr="00C3420F">
        <w:rPr>
          <w:rFonts w:ascii="Times New Roman" w:eastAsia="Times New Roman" w:hAnsi="Times New Roman" w:cs="Times New Roman"/>
          <w:b/>
          <w:bCs/>
          <w:color w:val="000000"/>
          <w:lang w:eastAsia="fr-FR"/>
        </w:rPr>
        <w:t>dividende démographi</w:t>
      </w:r>
      <w:r w:rsidRPr="003F1604">
        <w:rPr>
          <w:rFonts w:ascii="Times New Roman" w:eastAsia="Times New Roman" w:hAnsi="Times New Roman" w:cs="Times New Roman"/>
          <w:b/>
          <w:bCs/>
          <w:color w:val="000000"/>
          <w:lang w:eastAsia="fr-FR"/>
        </w:rPr>
        <w:t>que</w:t>
      </w:r>
      <w:r w:rsidR="00B5062A" w:rsidRPr="003F1604">
        <w:rPr>
          <w:rFonts w:ascii="Times New Roman" w:eastAsia="Times New Roman" w:hAnsi="Times New Roman" w:cs="Times New Roman"/>
          <w:color w:val="000000"/>
          <w:lang w:eastAsia="fr-FR"/>
        </w:rPr>
        <w:t>.</w:t>
      </w:r>
      <w:r w:rsidR="007741F3" w:rsidRPr="003F1604">
        <w:rPr>
          <w:rFonts w:ascii="Times New Roman" w:hAnsi="Times New Roman" w:cs="Times New Roman"/>
        </w:rPr>
        <w:t xml:space="preserve"> La </w:t>
      </w:r>
      <w:r w:rsidR="000542BD">
        <w:rPr>
          <w:rFonts w:ascii="Times New Roman" w:hAnsi="Times New Roman" w:cs="Times New Roman"/>
        </w:rPr>
        <w:t>SSR</w:t>
      </w:r>
      <w:r w:rsidR="007741F3" w:rsidRPr="003F1604">
        <w:rPr>
          <w:rFonts w:ascii="Times New Roman" w:hAnsi="Times New Roman" w:cs="Times New Roman"/>
        </w:rPr>
        <w:t xml:space="preserve"> constitue un investissement sur lequel il y a le plus de retour, compte tenu de la jeunesse et du dynamisme de la population en Afrique.</w:t>
      </w:r>
      <w:r w:rsidR="007741F3" w:rsidRPr="00C3420F">
        <w:rPr>
          <w:rFonts w:ascii="Times New Roman" w:hAnsi="Times New Roman" w:cs="Times New Roman"/>
        </w:rPr>
        <w:t xml:space="preserve"> </w:t>
      </w:r>
    </w:p>
    <w:p w14:paraId="40AB2CCE" w14:textId="3FAB7D90" w:rsidR="00C3420F" w:rsidRDefault="00C3420F">
      <w:pPr>
        <w:pStyle w:val="ListParagraph"/>
        <w:numPr>
          <w:ilvl w:val="0"/>
          <w:numId w:val="6"/>
        </w:numPr>
        <w:spacing w:after="120"/>
        <w:contextualSpacing w:val="0"/>
        <w:jc w:val="both"/>
        <w:rPr>
          <w:rFonts w:ascii="Times New Roman" w:hAnsi="Times New Roman" w:cs="Times New Roman"/>
        </w:rPr>
      </w:pPr>
      <w:r w:rsidRPr="00C3420F">
        <w:rPr>
          <w:rFonts w:ascii="Times New Roman" w:hAnsi="Times New Roman" w:cs="Times New Roman"/>
        </w:rPr>
        <w:t>Les données démontrent qu</w:t>
      </w:r>
      <w:r w:rsidR="00570944">
        <w:rPr>
          <w:rFonts w:ascii="Times New Roman" w:hAnsi="Times New Roman" w:cs="Times New Roman"/>
        </w:rPr>
        <w:t>’</w:t>
      </w:r>
      <w:r w:rsidRPr="00C3420F">
        <w:rPr>
          <w:rFonts w:ascii="Times New Roman" w:hAnsi="Times New Roman" w:cs="Times New Roman"/>
        </w:rPr>
        <w:t xml:space="preserve">il est possible de mettre en place des </w:t>
      </w:r>
      <w:r w:rsidRPr="00210130">
        <w:rPr>
          <w:rFonts w:ascii="Times New Roman" w:hAnsi="Times New Roman" w:cs="Times New Roman"/>
          <w:b/>
          <w:bCs/>
        </w:rPr>
        <w:t xml:space="preserve">programmes </w:t>
      </w:r>
      <w:r w:rsidR="00210130" w:rsidRPr="00210130">
        <w:rPr>
          <w:rFonts w:ascii="Times New Roman" w:hAnsi="Times New Roman" w:cs="Times New Roman"/>
          <w:b/>
          <w:bCs/>
        </w:rPr>
        <w:t>efficaces</w:t>
      </w:r>
      <w:r w:rsidR="00210130">
        <w:rPr>
          <w:rFonts w:ascii="Times New Roman" w:hAnsi="Times New Roman" w:cs="Times New Roman"/>
        </w:rPr>
        <w:t xml:space="preserve"> </w:t>
      </w:r>
      <w:r w:rsidRPr="00C3420F">
        <w:rPr>
          <w:rFonts w:ascii="Times New Roman" w:hAnsi="Times New Roman" w:cs="Times New Roman"/>
        </w:rPr>
        <w:t xml:space="preserve">conduisant à un </w:t>
      </w:r>
      <w:r w:rsidRPr="003F1604">
        <w:rPr>
          <w:rFonts w:ascii="Times New Roman" w:hAnsi="Times New Roman" w:cs="Times New Roman"/>
          <w:b/>
          <w:bCs/>
        </w:rPr>
        <w:t>recul de l</w:t>
      </w:r>
      <w:r w:rsidR="00570944">
        <w:rPr>
          <w:rFonts w:ascii="Times New Roman" w:hAnsi="Times New Roman" w:cs="Times New Roman"/>
          <w:b/>
          <w:bCs/>
        </w:rPr>
        <w:t>’</w:t>
      </w:r>
      <w:r w:rsidRPr="003F1604">
        <w:rPr>
          <w:rFonts w:ascii="Times New Roman" w:hAnsi="Times New Roman" w:cs="Times New Roman"/>
          <w:b/>
          <w:bCs/>
        </w:rPr>
        <w:t>âge du premier rapport sexuel, à une réduction de la fréquence des rapports sexuels</w:t>
      </w:r>
      <w:r w:rsidR="00210130" w:rsidRPr="003F1604">
        <w:rPr>
          <w:rFonts w:ascii="Times New Roman" w:hAnsi="Times New Roman" w:cs="Times New Roman"/>
          <w:b/>
          <w:bCs/>
        </w:rPr>
        <w:t>, à</w:t>
      </w:r>
      <w:r w:rsidRPr="003F1604">
        <w:rPr>
          <w:rFonts w:ascii="Times New Roman" w:hAnsi="Times New Roman" w:cs="Times New Roman"/>
          <w:b/>
          <w:bCs/>
        </w:rPr>
        <w:t xml:space="preserve"> une diminution du nombre de partenaires sexuels</w:t>
      </w:r>
      <w:r w:rsidR="00210130" w:rsidRPr="003F1604">
        <w:rPr>
          <w:rFonts w:ascii="Times New Roman" w:hAnsi="Times New Roman" w:cs="Times New Roman"/>
          <w:b/>
          <w:bCs/>
        </w:rPr>
        <w:t xml:space="preserve"> et</w:t>
      </w:r>
      <w:r w:rsidRPr="003F1604">
        <w:rPr>
          <w:rFonts w:ascii="Times New Roman" w:hAnsi="Times New Roman" w:cs="Times New Roman"/>
          <w:b/>
          <w:bCs/>
        </w:rPr>
        <w:t xml:space="preserve"> des comportements à risque, et également à un renforcement de l</w:t>
      </w:r>
      <w:r w:rsidR="00570944">
        <w:rPr>
          <w:rFonts w:ascii="Times New Roman" w:hAnsi="Times New Roman" w:cs="Times New Roman"/>
          <w:b/>
          <w:bCs/>
        </w:rPr>
        <w:t>’</w:t>
      </w:r>
      <w:r w:rsidRPr="003F1604">
        <w:rPr>
          <w:rFonts w:ascii="Times New Roman" w:hAnsi="Times New Roman" w:cs="Times New Roman"/>
          <w:b/>
          <w:bCs/>
        </w:rPr>
        <w:t>estime de soi</w:t>
      </w:r>
      <w:r w:rsidRPr="00C3420F">
        <w:rPr>
          <w:rFonts w:ascii="Times New Roman" w:hAnsi="Times New Roman" w:cs="Times New Roman"/>
        </w:rPr>
        <w:t xml:space="preserve">. De tels programmes, </w:t>
      </w:r>
      <w:r w:rsidRPr="00C3420F">
        <w:rPr>
          <w:rFonts w:ascii="Times New Roman" w:eastAsia="Times New Roman" w:hAnsi="Times New Roman" w:cs="Times New Roman"/>
          <w:color w:val="000000"/>
          <w:lang w:eastAsia="fr-FR"/>
        </w:rPr>
        <w:t>adaptés au contexte, à la culture et aux valeurs de chaque pays</w:t>
      </w:r>
      <w:r>
        <w:rPr>
          <w:rFonts w:ascii="Times New Roman" w:hAnsi="Times New Roman" w:cs="Times New Roman"/>
        </w:rPr>
        <w:t xml:space="preserve">, </w:t>
      </w:r>
      <w:r w:rsidRPr="00C3420F">
        <w:rPr>
          <w:rFonts w:ascii="Times New Roman" w:hAnsi="Times New Roman" w:cs="Times New Roman"/>
        </w:rPr>
        <w:t>fondés sur les données probantes et alignés sur les orientations internationales en la matière, représentent une véritable opportunité.</w:t>
      </w:r>
      <w:r w:rsidR="00366AE0">
        <w:rPr>
          <w:rFonts w:ascii="Times New Roman" w:hAnsi="Times New Roman" w:cs="Times New Roman"/>
        </w:rPr>
        <w:t xml:space="preserve"> </w:t>
      </w:r>
      <w:r w:rsidR="00152085">
        <w:rPr>
          <w:rFonts w:ascii="Times New Roman" w:hAnsi="Times New Roman" w:cs="Times New Roman"/>
        </w:rPr>
        <w:t xml:space="preserve">De nombreux </w:t>
      </w:r>
      <w:r w:rsidR="00217B9F">
        <w:rPr>
          <w:rFonts w:ascii="Times New Roman" w:hAnsi="Times New Roman" w:cs="Times New Roman"/>
        </w:rPr>
        <w:t>contextes nationaux</w:t>
      </w:r>
      <w:r w:rsidRPr="006B4F74">
        <w:rPr>
          <w:rFonts w:ascii="Times New Roman" w:hAnsi="Times New Roman" w:cs="Times New Roman"/>
        </w:rPr>
        <w:t xml:space="preserve"> montrent qu</w:t>
      </w:r>
      <w:r w:rsidR="00570944">
        <w:rPr>
          <w:rFonts w:ascii="Times New Roman" w:hAnsi="Times New Roman" w:cs="Times New Roman"/>
        </w:rPr>
        <w:t>’</w:t>
      </w:r>
      <w:r w:rsidRPr="006B4F74">
        <w:rPr>
          <w:rFonts w:ascii="Times New Roman" w:hAnsi="Times New Roman" w:cs="Times New Roman"/>
        </w:rPr>
        <w:t>il est non seulement nécessaire de mettre en œuvre des programmes efficaces d</w:t>
      </w:r>
      <w:r w:rsidR="00570944">
        <w:rPr>
          <w:rFonts w:ascii="Times New Roman" w:hAnsi="Times New Roman" w:cs="Times New Roman"/>
        </w:rPr>
        <w:t>’</w:t>
      </w:r>
      <w:r w:rsidR="000B15F1">
        <w:rPr>
          <w:rFonts w:ascii="Times New Roman" w:hAnsi="Times New Roman" w:cs="Times New Roman"/>
        </w:rPr>
        <w:t xml:space="preserve">information et </w:t>
      </w:r>
      <w:r w:rsidR="009B6605" w:rsidRPr="006B4F74">
        <w:rPr>
          <w:rFonts w:ascii="Times New Roman" w:hAnsi="Times New Roman" w:cs="Times New Roman"/>
        </w:rPr>
        <w:t>d</w:t>
      </w:r>
      <w:r w:rsidR="00570944">
        <w:rPr>
          <w:rFonts w:ascii="Times New Roman" w:hAnsi="Times New Roman" w:cs="Times New Roman"/>
        </w:rPr>
        <w:t>’</w:t>
      </w:r>
      <w:r w:rsidRPr="006B4F74">
        <w:rPr>
          <w:rFonts w:ascii="Times New Roman" w:hAnsi="Times New Roman" w:cs="Times New Roman"/>
        </w:rPr>
        <w:t xml:space="preserve">éducation </w:t>
      </w:r>
      <w:r w:rsidR="009B6605" w:rsidRPr="006B4F74">
        <w:rPr>
          <w:rFonts w:ascii="Times New Roman" w:hAnsi="Times New Roman" w:cs="Times New Roman"/>
        </w:rPr>
        <w:t>complètes</w:t>
      </w:r>
      <w:r w:rsidRPr="006B4F74">
        <w:rPr>
          <w:rFonts w:ascii="Times New Roman" w:hAnsi="Times New Roman" w:cs="Times New Roman"/>
        </w:rPr>
        <w:t>, mais que cela est possible et que cela a déjà été réalisé</w:t>
      </w:r>
      <w:r w:rsidR="0097485F" w:rsidRPr="006B4F74">
        <w:rPr>
          <w:rFonts w:ascii="Times New Roman" w:hAnsi="Times New Roman" w:cs="Times New Roman"/>
        </w:rPr>
        <w:t xml:space="preserve"> avec succès</w:t>
      </w:r>
      <w:r w:rsidRPr="006B4F74">
        <w:rPr>
          <w:rFonts w:ascii="Times New Roman" w:hAnsi="Times New Roman" w:cs="Times New Roman"/>
        </w:rPr>
        <w:t>.</w:t>
      </w:r>
      <w:r w:rsidRPr="00C3420F">
        <w:rPr>
          <w:rFonts w:ascii="Times New Roman" w:hAnsi="Times New Roman" w:cs="Times New Roman"/>
        </w:rPr>
        <w:t xml:space="preserve"> </w:t>
      </w:r>
    </w:p>
    <w:p w14:paraId="542DA536" w14:textId="77777777" w:rsidR="00BF4ACC" w:rsidRDefault="00B454D2" w:rsidP="00BF4ACC">
      <w:pPr>
        <w:pStyle w:val="ListParagraph"/>
        <w:numPr>
          <w:ilvl w:val="0"/>
          <w:numId w:val="6"/>
        </w:numPr>
        <w:spacing w:after="120"/>
        <w:ind w:left="714" w:hanging="357"/>
        <w:contextualSpacing w:val="0"/>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L’Engagement de l’AOC </w:t>
      </w:r>
      <w:r w:rsidR="00E57BF7">
        <w:rPr>
          <w:rFonts w:ascii="Times New Roman" w:eastAsia="Times New Roman" w:hAnsi="Times New Roman" w:cs="Times New Roman"/>
          <w:color w:val="000000"/>
          <w:lang w:eastAsia="fr-FR"/>
        </w:rPr>
        <w:t>a vocation</w:t>
      </w:r>
      <w:r>
        <w:rPr>
          <w:rFonts w:ascii="Times New Roman" w:eastAsia="Times New Roman" w:hAnsi="Times New Roman" w:cs="Times New Roman"/>
          <w:color w:val="000000"/>
          <w:lang w:eastAsia="fr-FR"/>
        </w:rPr>
        <w:t xml:space="preserve"> à s’appuyer sur des initiatives et </w:t>
      </w:r>
      <w:r w:rsidR="00E57BF7">
        <w:rPr>
          <w:rFonts w:ascii="Times New Roman" w:eastAsia="Times New Roman" w:hAnsi="Times New Roman" w:cs="Times New Roman"/>
          <w:color w:val="000000"/>
          <w:lang w:eastAsia="fr-FR"/>
        </w:rPr>
        <w:t>partenariats</w:t>
      </w:r>
      <w:r>
        <w:rPr>
          <w:rFonts w:ascii="Times New Roman" w:eastAsia="Times New Roman" w:hAnsi="Times New Roman" w:cs="Times New Roman"/>
          <w:color w:val="000000"/>
          <w:lang w:eastAsia="fr-FR"/>
        </w:rPr>
        <w:t xml:space="preserve"> régiona</w:t>
      </w:r>
      <w:r w:rsidR="00E57BF7">
        <w:rPr>
          <w:rFonts w:ascii="Times New Roman" w:eastAsia="Times New Roman" w:hAnsi="Times New Roman" w:cs="Times New Roman"/>
          <w:color w:val="000000"/>
          <w:lang w:eastAsia="fr-FR"/>
        </w:rPr>
        <w:t>ux</w:t>
      </w:r>
      <w:r>
        <w:rPr>
          <w:rFonts w:ascii="Times New Roman" w:eastAsia="Times New Roman" w:hAnsi="Times New Roman" w:cs="Times New Roman"/>
          <w:color w:val="000000"/>
          <w:lang w:eastAsia="fr-FR"/>
        </w:rPr>
        <w:t xml:space="preserve"> existants tels que le Partenariat de Ouagadougou</w:t>
      </w:r>
      <w:r w:rsidR="004722CE">
        <w:rPr>
          <w:rFonts w:ascii="Times New Roman" w:eastAsia="Times New Roman" w:hAnsi="Times New Roman" w:cs="Times New Roman"/>
          <w:color w:val="000000"/>
          <w:lang w:eastAsia="fr-FR"/>
        </w:rPr>
        <w:t xml:space="preserve"> et </w:t>
      </w:r>
      <w:r w:rsidR="004722CE" w:rsidRPr="004722CE">
        <w:rPr>
          <w:rFonts w:ascii="Times New Roman" w:eastAsia="Times New Roman" w:hAnsi="Times New Roman" w:cs="Times New Roman"/>
          <w:color w:val="000000"/>
          <w:lang w:eastAsia="fr-FR"/>
        </w:rPr>
        <w:t>FP2030</w:t>
      </w:r>
      <w:r w:rsidRPr="00B454D2">
        <w:rPr>
          <w:rFonts w:ascii="Times New Roman" w:eastAsia="Times New Roman" w:hAnsi="Times New Roman" w:cs="Times New Roman"/>
          <w:color w:val="000000"/>
          <w:lang w:eastAsia="fr-FR"/>
        </w:rPr>
        <w:t xml:space="preserve">, </w:t>
      </w:r>
      <w:r>
        <w:rPr>
          <w:rFonts w:ascii="Times New Roman" w:eastAsia="Times New Roman" w:hAnsi="Times New Roman" w:cs="Times New Roman"/>
          <w:color w:val="000000"/>
          <w:lang w:eastAsia="fr-FR"/>
        </w:rPr>
        <w:t xml:space="preserve">afin de tirer profit des </w:t>
      </w:r>
      <w:r w:rsidR="00BF4ACC">
        <w:rPr>
          <w:rFonts w:ascii="Times New Roman" w:eastAsia="Times New Roman" w:hAnsi="Times New Roman" w:cs="Times New Roman"/>
          <w:color w:val="000000"/>
          <w:lang w:eastAsia="fr-FR"/>
        </w:rPr>
        <w:t>initiatives déjà opérationnelles</w:t>
      </w:r>
      <w:r>
        <w:rPr>
          <w:rFonts w:ascii="Times New Roman" w:eastAsia="Times New Roman" w:hAnsi="Times New Roman" w:cs="Times New Roman"/>
          <w:color w:val="000000"/>
          <w:lang w:eastAsia="fr-FR"/>
        </w:rPr>
        <w:t xml:space="preserve"> et de capitaliser sur leurs succès</w:t>
      </w:r>
      <w:r w:rsidR="00BF4ACC">
        <w:rPr>
          <w:rFonts w:ascii="Times New Roman" w:eastAsia="Times New Roman" w:hAnsi="Times New Roman" w:cs="Times New Roman"/>
          <w:color w:val="000000"/>
          <w:lang w:eastAsia="fr-FR"/>
        </w:rPr>
        <w:t xml:space="preserve"> et leurs enseignements</w:t>
      </w:r>
      <w:r w:rsidRPr="00B454D2">
        <w:rPr>
          <w:rFonts w:ascii="Times New Roman" w:eastAsia="Times New Roman" w:hAnsi="Times New Roman" w:cs="Times New Roman"/>
          <w:color w:val="000000"/>
          <w:lang w:eastAsia="fr-FR"/>
        </w:rPr>
        <w:t xml:space="preserve">. </w:t>
      </w:r>
      <w:r w:rsidR="004722CE">
        <w:rPr>
          <w:rFonts w:ascii="Times New Roman" w:eastAsia="Times New Roman" w:hAnsi="Times New Roman" w:cs="Times New Roman"/>
          <w:color w:val="000000"/>
          <w:lang w:eastAsia="fr-FR"/>
        </w:rPr>
        <w:t>Dans cette perspective</w:t>
      </w:r>
      <w:r w:rsidRPr="00B454D2">
        <w:rPr>
          <w:rFonts w:ascii="Times New Roman" w:eastAsia="Times New Roman" w:hAnsi="Times New Roman" w:cs="Times New Roman"/>
          <w:color w:val="000000"/>
          <w:lang w:eastAsia="fr-FR"/>
        </w:rPr>
        <w:t xml:space="preserve">, </w:t>
      </w:r>
      <w:r w:rsidR="004722CE">
        <w:rPr>
          <w:rFonts w:ascii="Times New Roman" w:eastAsia="Times New Roman" w:hAnsi="Times New Roman" w:cs="Times New Roman"/>
          <w:color w:val="000000"/>
          <w:lang w:eastAsia="fr-FR"/>
        </w:rPr>
        <w:t xml:space="preserve">il s’agit moins de développer de nouveaux programmes que de s’appuyer sur ceux </w:t>
      </w:r>
      <w:r w:rsidR="00BF4ACC">
        <w:rPr>
          <w:rFonts w:ascii="Times New Roman" w:eastAsia="Times New Roman" w:hAnsi="Times New Roman" w:cs="Times New Roman"/>
          <w:color w:val="000000"/>
          <w:lang w:eastAsia="fr-FR"/>
        </w:rPr>
        <w:t xml:space="preserve">qui existent déjà, en vue de </w:t>
      </w:r>
      <w:r w:rsidR="004722CE">
        <w:rPr>
          <w:rFonts w:ascii="Times New Roman" w:eastAsia="Times New Roman" w:hAnsi="Times New Roman" w:cs="Times New Roman"/>
          <w:color w:val="000000"/>
          <w:lang w:eastAsia="fr-FR"/>
        </w:rPr>
        <w:t xml:space="preserve">les renforcer ou les passer à l’échelle. </w:t>
      </w:r>
    </w:p>
    <w:p w14:paraId="6A8C34C4" w14:textId="2508D09F" w:rsidR="00BF4ACC" w:rsidRPr="00C3420F" w:rsidRDefault="00BF4ACC" w:rsidP="00BF4ACC">
      <w:pPr>
        <w:pStyle w:val="ListParagraph"/>
        <w:numPr>
          <w:ilvl w:val="0"/>
          <w:numId w:val="6"/>
        </w:numPr>
        <w:spacing w:after="120"/>
        <w:ind w:left="714" w:hanging="357"/>
        <w:contextualSpacing w:val="0"/>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En outre, l</w:t>
      </w:r>
      <w:r w:rsidRPr="00C3420F">
        <w:rPr>
          <w:rFonts w:ascii="Times New Roman" w:hAnsi="Times New Roman" w:cs="Times New Roman"/>
        </w:rPr>
        <w:t xml:space="preserve">es données probantes </w:t>
      </w:r>
      <w:r>
        <w:rPr>
          <w:rFonts w:ascii="Times New Roman" w:hAnsi="Times New Roman" w:cs="Times New Roman"/>
        </w:rPr>
        <w:t xml:space="preserve">s’accumulant, il est possible de renforcer </w:t>
      </w:r>
      <w:r w:rsidRPr="00C3420F">
        <w:rPr>
          <w:rFonts w:ascii="Times New Roman" w:hAnsi="Times New Roman" w:cs="Times New Roman"/>
        </w:rPr>
        <w:t xml:space="preserve">des </w:t>
      </w:r>
      <w:r w:rsidRPr="00A56C1B">
        <w:rPr>
          <w:rFonts w:ascii="Times New Roman" w:hAnsi="Times New Roman" w:cs="Times New Roman"/>
          <w:b/>
          <w:bCs/>
        </w:rPr>
        <w:t>outils et des orientations</w:t>
      </w:r>
      <w:r w:rsidRPr="00C3420F">
        <w:rPr>
          <w:rFonts w:ascii="Times New Roman" w:hAnsi="Times New Roman" w:cs="Times New Roman"/>
        </w:rPr>
        <w:t xml:space="preserve"> </w:t>
      </w:r>
      <w:r>
        <w:rPr>
          <w:rFonts w:ascii="Times New Roman" w:hAnsi="Times New Roman" w:cs="Times New Roman"/>
        </w:rPr>
        <w:t>pour</w:t>
      </w:r>
      <w:r w:rsidRPr="00C3420F">
        <w:rPr>
          <w:rFonts w:ascii="Times New Roman" w:hAnsi="Times New Roman" w:cs="Times New Roman"/>
        </w:rPr>
        <w:t xml:space="preserve"> des programmes de plus grande efficacité pour une application à l</w:t>
      </w:r>
      <w:r>
        <w:rPr>
          <w:rFonts w:ascii="Times New Roman" w:hAnsi="Times New Roman" w:cs="Times New Roman"/>
        </w:rPr>
        <w:t>’</w:t>
      </w:r>
      <w:r w:rsidRPr="00C3420F">
        <w:rPr>
          <w:rFonts w:ascii="Times New Roman" w:hAnsi="Times New Roman" w:cs="Times New Roman"/>
        </w:rPr>
        <w:t xml:space="preserve">école, en dehors des écoles, ou dans le dialogue parent-enfant. </w:t>
      </w:r>
    </w:p>
    <w:p w14:paraId="119A833A" w14:textId="7360F794" w:rsidR="00040D06" w:rsidRPr="00BF4ACC" w:rsidRDefault="00040D06" w:rsidP="00BF4ACC">
      <w:pPr>
        <w:pStyle w:val="ListParagraph"/>
        <w:numPr>
          <w:ilvl w:val="0"/>
          <w:numId w:val="6"/>
        </w:numPr>
        <w:ind w:left="714" w:hanging="357"/>
        <w:contextualSpacing w:val="0"/>
        <w:jc w:val="both"/>
        <w:rPr>
          <w:rFonts w:ascii="Times New Roman" w:eastAsia="Times New Roman" w:hAnsi="Times New Roman" w:cs="Times New Roman"/>
          <w:color w:val="000000"/>
          <w:lang w:eastAsia="fr-FR"/>
        </w:rPr>
      </w:pPr>
      <w:r w:rsidRPr="00BF4ACC">
        <w:rPr>
          <w:rFonts w:ascii="Times New Roman" w:hAnsi="Times New Roman" w:cs="Times New Roman"/>
        </w:rPr>
        <w:t>L</w:t>
      </w:r>
      <w:r w:rsidR="00570944" w:rsidRPr="00BF4ACC">
        <w:rPr>
          <w:rFonts w:ascii="Times New Roman" w:hAnsi="Times New Roman" w:cs="Times New Roman"/>
        </w:rPr>
        <w:t>’</w:t>
      </w:r>
      <w:r w:rsidRPr="00BF4ACC">
        <w:rPr>
          <w:rFonts w:ascii="Times New Roman" w:hAnsi="Times New Roman" w:cs="Times New Roman"/>
        </w:rPr>
        <w:t>extension progressive de la scolarisation gratuite et obligatoire, telle que recommandée par le Cadre d</w:t>
      </w:r>
      <w:r w:rsidR="00570944" w:rsidRPr="00BF4ACC">
        <w:rPr>
          <w:rFonts w:ascii="Times New Roman" w:hAnsi="Times New Roman" w:cs="Times New Roman"/>
        </w:rPr>
        <w:t>’</w:t>
      </w:r>
      <w:r w:rsidRPr="00BF4ACC">
        <w:rPr>
          <w:rFonts w:ascii="Times New Roman" w:hAnsi="Times New Roman" w:cs="Times New Roman"/>
        </w:rPr>
        <w:t>Action Éducation 2030 pour la réalisation de l</w:t>
      </w:r>
      <w:r w:rsidR="00570944" w:rsidRPr="00BF4ACC">
        <w:rPr>
          <w:rFonts w:ascii="Times New Roman" w:hAnsi="Times New Roman" w:cs="Times New Roman"/>
        </w:rPr>
        <w:t>’</w:t>
      </w:r>
      <w:r w:rsidRPr="00BF4ACC">
        <w:rPr>
          <w:rFonts w:ascii="Times New Roman" w:hAnsi="Times New Roman" w:cs="Times New Roman"/>
        </w:rPr>
        <w:t>ODD-4, constitue une opportunité d</w:t>
      </w:r>
      <w:r w:rsidR="00570944" w:rsidRPr="00BF4ACC">
        <w:rPr>
          <w:rFonts w:ascii="Times New Roman" w:hAnsi="Times New Roman" w:cs="Times New Roman"/>
        </w:rPr>
        <w:t>’</w:t>
      </w:r>
      <w:r w:rsidRPr="00BF4ACC">
        <w:rPr>
          <w:rFonts w:ascii="Times New Roman" w:hAnsi="Times New Roman" w:cs="Times New Roman"/>
        </w:rPr>
        <w:t>atteindre davantage d</w:t>
      </w:r>
      <w:r w:rsidR="00570944" w:rsidRPr="00BF4ACC">
        <w:rPr>
          <w:rFonts w:ascii="Times New Roman" w:hAnsi="Times New Roman" w:cs="Times New Roman"/>
        </w:rPr>
        <w:t>’</w:t>
      </w:r>
      <w:r w:rsidRPr="00BF4ACC">
        <w:rPr>
          <w:rFonts w:ascii="Times New Roman" w:hAnsi="Times New Roman" w:cs="Times New Roman"/>
        </w:rPr>
        <w:t>élèves et de contribuer à ce qu</w:t>
      </w:r>
      <w:r w:rsidR="00570944" w:rsidRPr="00BF4ACC">
        <w:rPr>
          <w:rFonts w:ascii="Times New Roman" w:hAnsi="Times New Roman" w:cs="Times New Roman"/>
        </w:rPr>
        <w:t>’</w:t>
      </w:r>
      <w:r w:rsidRPr="00BF4ACC">
        <w:rPr>
          <w:rFonts w:ascii="Times New Roman" w:hAnsi="Times New Roman" w:cs="Times New Roman"/>
        </w:rPr>
        <w:t>ils puissent jouir de leur droit à une éducation de qualité</w:t>
      </w:r>
      <w:r w:rsidR="00B90117" w:rsidRPr="00BF4ACC">
        <w:rPr>
          <w:rFonts w:ascii="Times New Roman" w:hAnsi="Times New Roman" w:cs="Times New Roman"/>
        </w:rPr>
        <w:t>. En parallèle</w:t>
      </w:r>
      <w:r w:rsidR="004722CE" w:rsidRPr="00BF4ACC">
        <w:rPr>
          <w:rFonts w:ascii="Times New Roman" w:hAnsi="Times New Roman" w:cs="Times New Roman"/>
        </w:rPr>
        <w:t>, intégrer les programmes d’éducation et d’information compl</w:t>
      </w:r>
      <w:r w:rsidR="00BD4C08" w:rsidRPr="00BF4ACC">
        <w:rPr>
          <w:rFonts w:ascii="Times New Roman" w:hAnsi="Times New Roman" w:cs="Times New Roman"/>
        </w:rPr>
        <w:t>et</w:t>
      </w:r>
      <w:r w:rsidR="004722CE" w:rsidRPr="00BF4ACC">
        <w:rPr>
          <w:rFonts w:ascii="Times New Roman" w:hAnsi="Times New Roman" w:cs="Times New Roman"/>
        </w:rPr>
        <w:t xml:space="preserve">s dans les systèmes d’éducation participe largement </w:t>
      </w:r>
      <w:r w:rsidR="00B90117" w:rsidRPr="00BF4ACC">
        <w:rPr>
          <w:rFonts w:ascii="Times New Roman" w:hAnsi="Times New Roman" w:cs="Times New Roman"/>
        </w:rPr>
        <w:t>au processus d’</w:t>
      </w:r>
      <w:r w:rsidR="004722CE" w:rsidRPr="00BF4ACC">
        <w:rPr>
          <w:rFonts w:ascii="Times New Roman" w:hAnsi="Times New Roman" w:cs="Times New Roman"/>
        </w:rPr>
        <w:t>amélioration de l’éducation</w:t>
      </w:r>
      <w:r w:rsidR="000B15F1">
        <w:rPr>
          <w:rFonts w:ascii="Times New Roman" w:hAnsi="Times New Roman" w:cs="Times New Roman"/>
        </w:rPr>
        <w:t xml:space="preserve">, y compris la </w:t>
      </w:r>
      <w:r w:rsidR="004722CE" w:rsidRPr="00BF4ACC">
        <w:rPr>
          <w:rFonts w:ascii="Times New Roman" w:hAnsi="Times New Roman" w:cs="Times New Roman"/>
        </w:rPr>
        <w:t xml:space="preserve">transformation des </w:t>
      </w:r>
      <w:r w:rsidR="000B15F1">
        <w:rPr>
          <w:rFonts w:ascii="Times New Roman" w:hAnsi="Times New Roman" w:cs="Times New Roman"/>
        </w:rPr>
        <w:t>approches d’enseignement et d’apprentissage</w:t>
      </w:r>
      <w:r w:rsidR="004722CE" w:rsidRPr="00BF4ACC">
        <w:rPr>
          <w:rFonts w:ascii="Times New Roman" w:hAnsi="Times New Roman" w:cs="Times New Roman"/>
        </w:rPr>
        <w:t xml:space="preserve">, </w:t>
      </w:r>
      <w:r w:rsidR="000B15F1">
        <w:rPr>
          <w:rFonts w:ascii="Times New Roman" w:hAnsi="Times New Roman" w:cs="Times New Roman"/>
        </w:rPr>
        <w:t xml:space="preserve">ou la </w:t>
      </w:r>
      <w:r w:rsidR="004722CE" w:rsidRPr="00BF4ACC">
        <w:rPr>
          <w:rFonts w:ascii="Times New Roman" w:hAnsi="Times New Roman" w:cs="Times New Roman"/>
        </w:rPr>
        <w:t xml:space="preserve">création d’un environnement éducatif plus équitable, inclusif et sûr, propice à l’échange et à </w:t>
      </w:r>
      <w:r w:rsidR="000B15F1">
        <w:rPr>
          <w:rFonts w:ascii="Times New Roman" w:hAnsi="Times New Roman" w:cs="Times New Roman"/>
        </w:rPr>
        <w:t>l’autonomisation de l’apprenant</w:t>
      </w:r>
      <w:r w:rsidR="004722CE" w:rsidRPr="00BF4ACC">
        <w:rPr>
          <w:rFonts w:ascii="Times New Roman" w:hAnsi="Times New Roman" w:cs="Times New Roman"/>
        </w:rPr>
        <w:t>.</w:t>
      </w:r>
    </w:p>
    <w:p w14:paraId="19AC9C5B" w14:textId="44B82478" w:rsidR="00040D06" w:rsidRPr="002F7B38" w:rsidRDefault="00D4259F" w:rsidP="002F7B38">
      <w:pPr>
        <w:pStyle w:val="ListParagraph"/>
        <w:numPr>
          <w:ilvl w:val="0"/>
          <w:numId w:val="6"/>
        </w:numPr>
        <w:spacing w:after="120"/>
        <w:ind w:left="714" w:hanging="357"/>
        <w:contextualSpacing w:val="0"/>
        <w:jc w:val="both"/>
        <w:rPr>
          <w:rFonts w:ascii="Times New Roman" w:eastAsia="Times New Roman" w:hAnsi="Times New Roman" w:cs="Times New Roman"/>
          <w:color w:val="000000"/>
          <w:lang w:eastAsia="fr-FR"/>
        </w:rPr>
      </w:pPr>
      <w:r w:rsidRPr="00C3420F">
        <w:rPr>
          <w:rFonts w:ascii="Times New Roman" w:eastAsia="Times New Roman" w:hAnsi="Times New Roman" w:cs="Times New Roman"/>
          <w:color w:val="000000"/>
          <w:lang w:eastAsia="fr-FR"/>
        </w:rPr>
        <w:t xml:space="preserve">La </w:t>
      </w:r>
      <w:r w:rsidRPr="00C3420F">
        <w:rPr>
          <w:rFonts w:ascii="Times New Roman" w:eastAsia="Times New Roman" w:hAnsi="Times New Roman" w:cs="Times New Roman"/>
          <w:b/>
          <w:bCs/>
          <w:color w:val="000000"/>
          <w:lang w:eastAsia="fr-FR"/>
        </w:rPr>
        <w:t>technologie</w:t>
      </w:r>
      <w:r w:rsidRPr="00C3420F">
        <w:rPr>
          <w:rFonts w:ascii="Times New Roman" w:eastAsia="Times New Roman" w:hAnsi="Times New Roman" w:cs="Times New Roman"/>
          <w:color w:val="000000"/>
          <w:lang w:eastAsia="fr-FR"/>
        </w:rPr>
        <w:t xml:space="preserve"> </w:t>
      </w:r>
      <w:r w:rsidR="00823688" w:rsidRPr="00C3420F">
        <w:rPr>
          <w:rFonts w:ascii="Times New Roman" w:eastAsia="Times New Roman" w:hAnsi="Times New Roman" w:cs="Times New Roman"/>
          <w:color w:val="000000"/>
          <w:lang w:eastAsia="fr-FR"/>
        </w:rPr>
        <w:t>détient un formidable potentiel</w:t>
      </w:r>
      <w:r w:rsidR="00E3384B" w:rsidRPr="00C3420F">
        <w:rPr>
          <w:rFonts w:ascii="Times New Roman" w:eastAsia="Times New Roman" w:hAnsi="Times New Roman" w:cs="Times New Roman"/>
          <w:color w:val="000000"/>
          <w:lang w:eastAsia="fr-FR"/>
        </w:rPr>
        <w:t xml:space="preserve"> pour atteindre les jeunes, </w:t>
      </w:r>
      <w:r w:rsidR="00823688" w:rsidRPr="00C3420F">
        <w:rPr>
          <w:rFonts w:ascii="Times New Roman" w:eastAsia="Times New Roman" w:hAnsi="Times New Roman" w:cs="Times New Roman"/>
          <w:color w:val="000000"/>
          <w:lang w:eastAsia="fr-FR"/>
        </w:rPr>
        <w:t>en particulier</w:t>
      </w:r>
      <w:r w:rsidR="00E3384B" w:rsidRPr="00C3420F">
        <w:rPr>
          <w:rFonts w:ascii="Times New Roman" w:eastAsia="Times New Roman" w:hAnsi="Times New Roman" w:cs="Times New Roman"/>
          <w:color w:val="000000"/>
          <w:lang w:eastAsia="fr-FR"/>
        </w:rPr>
        <w:t xml:space="preserve"> ceux qui</w:t>
      </w:r>
      <w:r w:rsidR="00AC1F5E" w:rsidRPr="00C3420F">
        <w:rPr>
          <w:rFonts w:ascii="Times New Roman" w:eastAsia="Times New Roman" w:hAnsi="Times New Roman" w:cs="Times New Roman"/>
          <w:color w:val="000000"/>
          <w:lang w:eastAsia="fr-FR"/>
        </w:rPr>
        <w:t xml:space="preserve"> </w:t>
      </w:r>
      <w:r w:rsidR="00E3384B" w:rsidRPr="00C3420F">
        <w:rPr>
          <w:rFonts w:ascii="Times New Roman" w:eastAsia="Times New Roman" w:hAnsi="Times New Roman" w:cs="Times New Roman"/>
          <w:color w:val="000000"/>
          <w:lang w:eastAsia="fr-FR"/>
        </w:rPr>
        <w:t xml:space="preserve">sont les plus difficiles à atteindre. </w:t>
      </w:r>
      <w:r w:rsidR="00210130">
        <w:rPr>
          <w:rFonts w:ascii="Times New Roman" w:eastAsia="Times New Roman" w:hAnsi="Times New Roman" w:cs="Times New Roman"/>
          <w:color w:val="000000"/>
          <w:lang w:eastAsia="fr-FR"/>
        </w:rPr>
        <w:t>L</w:t>
      </w:r>
      <w:r w:rsidR="00210130" w:rsidRPr="00210130">
        <w:rPr>
          <w:rFonts w:ascii="Times New Roman" w:eastAsia="Times New Roman" w:hAnsi="Times New Roman" w:cs="Times New Roman"/>
          <w:color w:val="000000"/>
          <w:lang w:eastAsia="fr-FR"/>
        </w:rPr>
        <w:t>es statistiques montrent que le</w:t>
      </w:r>
      <w:r w:rsidR="000542BD">
        <w:rPr>
          <w:rFonts w:ascii="Times New Roman" w:eastAsia="Times New Roman" w:hAnsi="Times New Roman" w:cs="Times New Roman"/>
          <w:color w:val="000000"/>
          <w:lang w:eastAsia="fr-FR"/>
        </w:rPr>
        <w:t>s</w:t>
      </w:r>
      <w:r w:rsidR="00210130" w:rsidRPr="00210130">
        <w:rPr>
          <w:rFonts w:ascii="Times New Roman" w:eastAsia="Times New Roman" w:hAnsi="Times New Roman" w:cs="Times New Roman"/>
          <w:color w:val="000000"/>
          <w:lang w:eastAsia="fr-FR"/>
        </w:rPr>
        <w:t xml:space="preserve"> taux de connectivité et d</w:t>
      </w:r>
      <w:r w:rsidR="00570944">
        <w:rPr>
          <w:rFonts w:ascii="Times New Roman" w:eastAsia="Times New Roman" w:hAnsi="Times New Roman" w:cs="Times New Roman"/>
          <w:color w:val="000000"/>
          <w:lang w:eastAsia="fr-FR"/>
        </w:rPr>
        <w:t>’</w:t>
      </w:r>
      <w:r w:rsidR="00210130" w:rsidRPr="00210130">
        <w:rPr>
          <w:rFonts w:ascii="Times New Roman" w:eastAsia="Times New Roman" w:hAnsi="Times New Roman" w:cs="Times New Roman"/>
          <w:color w:val="000000"/>
          <w:lang w:eastAsia="fr-FR"/>
        </w:rPr>
        <w:t>utilisation d</w:t>
      </w:r>
      <w:r w:rsidR="00570944">
        <w:rPr>
          <w:rFonts w:ascii="Times New Roman" w:eastAsia="Times New Roman" w:hAnsi="Times New Roman" w:cs="Times New Roman"/>
          <w:color w:val="000000"/>
          <w:lang w:eastAsia="fr-FR"/>
        </w:rPr>
        <w:t>’</w:t>
      </w:r>
      <w:r w:rsidR="00210130" w:rsidRPr="00210130">
        <w:rPr>
          <w:rFonts w:ascii="Times New Roman" w:eastAsia="Times New Roman" w:hAnsi="Times New Roman" w:cs="Times New Roman"/>
          <w:color w:val="000000"/>
          <w:lang w:eastAsia="fr-FR"/>
        </w:rPr>
        <w:t xml:space="preserve">Internet </w:t>
      </w:r>
      <w:r w:rsidR="00210130">
        <w:rPr>
          <w:rFonts w:ascii="Times New Roman" w:eastAsia="Times New Roman" w:hAnsi="Times New Roman" w:cs="Times New Roman"/>
          <w:color w:val="000000"/>
          <w:lang w:eastAsia="fr-FR"/>
        </w:rPr>
        <w:t>sont</w:t>
      </w:r>
      <w:r w:rsidR="00210130" w:rsidRPr="00210130">
        <w:rPr>
          <w:rFonts w:ascii="Times New Roman" w:eastAsia="Times New Roman" w:hAnsi="Times New Roman" w:cs="Times New Roman"/>
          <w:color w:val="000000"/>
          <w:lang w:eastAsia="fr-FR"/>
        </w:rPr>
        <w:t xml:space="preserve"> en pleine croissance sur le continent</w:t>
      </w:r>
      <w:r w:rsidR="00210130">
        <w:rPr>
          <w:rFonts w:ascii="Times New Roman" w:eastAsia="Times New Roman" w:hAnsi="Times New Roman" w:cs="Times New Roman"/>
          <w:color w:val="000000"/>
          <w:lang w:eastAsia="fr-FR"/>
        </w:rPr>
        <w:t xml:space="preserve"> africain</w:t>
      </w:r>
      <w:r w:rsidR="00210130" w:rsidRPr="00210130">
        <w:rPr>
          <w:rFonts w:ascii="Times New Roman" w:eastAsia="Times New Roman" w:hAnsi="Times New Roman" w:cs="Times New Roman"/>
          <w:color w:val="000000"/>
          <w:lang w:eastAsia="fr-FR"/>
        </w:rPr>
        <w:t>.</w:t>
      </w:r>
      <w:r w:rsidR="00210130">
        <w:rPr>
          <w:rFonts w:ascii="Times New Roman" w:eastAsia="Times New Roman" w:hAnsi="Times New Roman" w:cs="Times New Roman"/>
          <w:color w:val="000000"/>
          <w:lang w:eastAsia="fr-FR"/>
        </w:rPr>
        <w:t xml:space="preserve"> </w:t>
      </w:r>
      <w:r w:rsidR="00A56C1B" w:rsidRPr="00A56C1B">
        <w:rPr>
          <w:rFonts w:ascii="Times New Roman" w:eastAsia="Times New Roman" w:hAnsi="Times New Roman" w:cs="Times New Roman"/>
          <w:color w:val="000000"/>
          <w:lang w:eastAsia="fr-FR"/>
        </w:rPr>
        <w:t>Une population jeune, combinée à des taux accrus d</w:t>
      </w:r>
      <w:r w:rsidR="00570944">
        <w:rPr>
          <w:rFonts w:ascii="Times New Roman" w:eastAsia="Times New Roman" w:hAnsi="Times New Roman" w:cs="Times New Roman"/>
          <w:color w:val="000000"/>
          <w:lang w:eastAsia="fr-FR"/>
        </w:rPr>
        <w:t>’</w:t>
      </w:r>
      <w:r w:rsidR="00A56C1B" w:rsidRPr="00A56C1B">
        <w:rPr>
          <w:rFonts w:ascii="Times New Roman" w:eastAsia="Times New Roman" w:hAnsi="Times New Roman" w:cs="Times New Roman"/>
          <w:color w:val="000000"/>
          <w:lang w:eastAsia="fr-FR"/>
        </w:rPr>
        <w:t>utilisation d</w:t>
      </w:r>
      <w:r w:rsidR="00570944">
        <w:rPr>
          <w:rFonts w:ascii="Times New Roman" w:eastAsia="Times New Roman" w:hAnsi="Times New Roman" w:cs="Times New Roman"/>
          <w:color w:val="000000"/>
          <w:lang w:eastAsia="fr-FR"/>
        </w:rPr>
        <w:t>’</w:t>
      </w:r>
      <w:r w:rsidR="00A56C1B" w:rsidRPr="00A56C1B">
        <w:rPr>
          <w:rFonts w:ascii="Times New Roman" w:eastAsia="Times New Roman" w:hAnsi="Times New Roman" w:cs="Times New Roman"/>
          <w:color w:val="000000"/>
          <w:lang w:eastAsia="fr-FR"/>
        </w:rPr>
        <w:t xml:space="preserve">Internet et de connectivité, peut se révéler un avantage important </w:t>
      </w:r>
      <w:r w:rsidR="00A56C1B">
        <w:rPr>
          <w:rFonts w:ascii="Times New Roman" w:eastAsia="Times New Roman" w:hAnsi="Times New Roman" w:cs="Times New Roman"/>
          <w:color w:val="000000"/>
          <w:lang w:eastAsia="fr-FR"/>
        </w:rPr>
        <w:t xml:space="preserve">dans la promotion de comportements </w:t>
      </w:r>
      <w:r w:rsidR="000B15F1">
        <w:rPr>
          <w:rFonts w:ascii="Times New Roman" w:eastAsia="Times New Roman" w:hAnsi="Times New Roman" w:cs="Times New Roman"/>
          <w:color w:val="000000"/>
          <w:lang w:eastAsia="fr-FR"/>
        </w:rPr>
        <w:t xml:space="preserve">respectueux de soi-même et de l’autre, </w:t>
      </w:r>
      <w:r w:rsidR="00A56C1B">
        <w:rPr>
          <w:rFonts w:ascii="Times New Roman" w:eastAsia="Times New Roman" w:hAnsi="Times New Roman" w:cs="Times New Roman"/>
          <w:color w:val="000000"/>
          <w:lang w:eastAsia="fr-FR"/>
        </w:rPr>
        <w:t xml:space="preserve">sains, </w:t>
      </w:r>
      <w:r w:rsidR="000B15F1">
        <w:rPr>
          <w:rFonts w:ascii="Times New Roman" w:eastAsia="Times New Roman" w:hAnsi="Times New Roman" w:cs="Times New Roman"/>
          <w:color w:val="000000"/>
          <w:lang w:eastAsia="fr-FR"/>
        </w:rPr>
        <w:t xml:space="preserve">et </w:t>
      </w:r>
      <w:r w:rsidR="00A56C1B">
        <w:rPr>
          <w:rFonts w:ascii="Times New Roman" w:eastAsia="Times New Roman" w:hAnsi="Times New Roman" w:cs="Times New Roman"/>
          <w:color w:val="000000"/>
          <w:lang w:eastAsia="fr-FR"/>
        </w:rPr>
        <w:t xml:space="preserve">efficaces. </w:t>
      </w:r>
    </w:p>
    <w:p w14:paraId="64186014" w14:textId="77777777" w:rsidR="00BD4C08" w:rsidRDefault="00BD4C08">
      <w:pPr>
        <w:rPr>
          <w:rFonts w:ascii="Times New Roman" w:eastAsia="Times New Roman" w:hAnsi="Times New Roman" w:cs="Times New Roman"/>
          <w:b/>
          <w:bCs/>
          <w:color w:val="000000"/>
          <w:lang w:eastAsia="fr-FR"/>
        </w:rPr>
      </w:pPr>
      <w:r>
        <w:rPr>
          <w:b/>
          <w:bCs/>
          <w:color w:val="000000"/>
        </w:rPr>
        <w:br w:type="page"/>
      </w:r>
    </w:p>
    <w:p w14:paraId="33175ABB" w14:textId="22C469B7" w:rsidR="00085541" w:rsidRDefault="0029190C">
      <w:pPr>
        <w:pStyle w:val="NormalWeb"/>
        <w:jc w:val="both"/>
        <w:rPr>
          <w:b/>
          <w:bCs/>
          <w:color w:val="000000"/>
          <w:sz w:val="22"/>
          <w:szCs w:val="22"/>
        </w:rPr>
      </w:pPr>
      <w:r w:rsidRPr="003C164C">
        <w:rPr>
          <w:b/>
          <w:bCs/>
          <w:color w:val="000000"/>
          <w:sz w:val="22"/>
          <w:szCs w:val="22"/>
        </w:rPr>
        <w:lastRenderedPageBreak/>
        <w:t xml:space="preserve">3. </w:t>
      </w:r>
      <w:r w:rsidR="00736FD3" w:rsidRPr="003C164C">
        <w:rPr>
          <w:b/>
          <w:bCs/>
          <w:color w:val="000000"/>
          <w:sz w:val="22"/>
          <w:szCs w:val="22"/>
        </w:rPr>
        <w:t xml:space="preserve">Engagement </w:t>
      </w:r>
      <w:r w:rsidR="006D4060" w:rsidRPr="003C164C">
        <w:rPr>
          <w:b/>
          <w:bCs/>
          <w:color w:val="000000"/>
          <w:sz w:val="22"/>
          <w:szCs w:val="22"/>
        </w:rPr>
        <w:t>à agir</w:t>
      </w:r>
    </w:p>
    <w:p w14:paraId="5F956AD6" w14:textId="005576F0" w:rsidR="00085541" w:rsidRDefault="00085541">
      <w:pPr>
        <w:pStyle w:val="Heading2"/>
        <w:jc w:val="both"/>
        <w:rPr>
          <w:rFonts w:ascii="Times New Roman" w:hAnsi="Times New Roman" w:cs="Times New Roman"/>
        </w:rPr>
      </w:pPr>
      <w:r w:rsidRPr="003C164C">
        <w:rPr>
          <w:rFonts w:ascii="Times New Roman" w:hAnsi="Times New Roman" w:cs="Times New Roman"/>
        </w:rPr>
        <w:t xml:space="preserve">Programmes </w:t>
      </w:r>
      <w:r w:rsidR="000744E4">
        <w:rPr>
          <w:rFonts w:ascii="Times New Roman" w:hAnsi="Times New Roman" w:cs="Times New Roman"/>
        </w:rPr>
        <w:t>d</w:t>
      </w:r>
      <w:r w:rsidR="00570944">
        <w:rPr>
          <w:rFonts w:ascii="Times New Roman" w:hAnsi="Times New Roman" w:cs="Times New Roman"/>
        </w:rPr>
        <w:t>’</w:t>
      </w:r>
      <w:r w:rsidR="000744E4" w:rsidRPr="00B40336">
        <w:rPr>
          <w:rFonts w:ascii="Times New Roman" w:hAnsi="Times New Roman" w:cs="Times New Roman"/>
        </w:rPr>
        <w:t xml:space="preserve">information et </w:t>
      </w:r>
      <w:r w:rsidR="000744E4">
        <w:rPr>
          <w:rFonts w:ascii="Times New Roman" w:hAnsi="Times New Roman" w:cs="Times New Roman"/>
        </w:rPr>
        <w:t>d</w:t>
      </w:r>
      <w:r w:rsidR="00570944">
        <w:rPr>
          <w:rFonts w:ascii="Times New Roman" w:hAnsi="Times New Roman" w:cs="Times New Roman"/>
        </w:rPr>
        <w:t>’</w:t>
      </w:r>
      <w:r w:rsidR="000744E4" w:rsidRPr="00B40336">
        <w:rPr>
          <w:rFonts w:ascii="Times New Roman" w:hAnsi="Times New Roman" w:cs="Times New Roman"/>
        </w:rPr>
        <w:t xml:space="preserve">éducation </w:t>
      </w:r>
      <w:r w:rsidR="00DA04D9">
        <w:rPr>
          <w:rFonts w:ascii="Times New Roman" w:hAnsi="Times New Roman" w:cs="Times New Roman"/>
        </w:rPr>
        <w:t>complets</w:t>
      </w:r>
    </w:p>
    <w:p w14:paraId="2DEAD52E" w14:textId="76BE7728" w:rsidR="005926FF" w:rsidRDefault="00F97BF7">
      <w:pPr>
        <w:jc w:val="both"/>
        <w:rPr>
          <w:rFonts w:ascii="Times New Roman" w:hAnsi="Times New Roman" w:cs="Times New Roman"/>
          <w:b/>
          <w:bCs/>
          <w:i/>
          <w:iCs/>
          <w:color w:val="000000"/>
        </w:rPr>
      </w:pPr>
      <w:r>
        <w:rPr>
          <w:rFonts w:ascii="Times New Roman" w:hAnsi="Times New Roman" w:cs="Times New Roman"/>
          <w:b/>
          <w:bCs/>
          <w:i/>
          <w:iCs/>
          <w:color w:val="000000"/>
        </w:rPr>
        <w:t>Portée et c</w:t>
      </w:r>
      <w:r w:rsidR="005926FF" w:rsidRPr="005926FF">
        <w:rPr>
          <w:rFonts w:ascii="Times New Roman" w:hAnsi="Times New Roman" w:cs="Times New Roman"/>
          <w:b/>
          <w:bCs/>
          <w:i/>
          <w:iCs/>
          <w:color w:val="000000"/>
        </w:rPr>
        <w:t xml:space="preserve">aractéristiques des programmes </w:t>
      </w:r>
      <w:r w:rsidR="0085253F">
        <w:rPr>
          <w:rFonts w:ascii="Times New Roman" w:hAnsi="Times New Roman" w:cs="Times New Roman"/>
          <w:b/>
          <w:bCs/>
          <w:i/>
          <w:iCs/>
          <w:color w:val="000000"/>
        </w:rPr>
        <w:t>d</w:t>
      </w:r>
      <w:r w:rsidR="00570944">
        <w:rPr>
          <w:rFonts w:ascii="Times New Roman" w:hAnsi="Times New Roman" w:cs="Times New Roman"/>
          <w:b/>
          <w:bCs/>
          <w:i/>
          <w:iCs/>
          <w:color w:val="000000"/>
        </w:rPr>
        <w:t>’</w:t>
      </w:r>
      <w:r w:rsidR="0085253F">
        <w:rPr>
          <w:rFonts w:ascii="Times New Roman" w:hAnsi="Times New Roman" w:cs="Times New Roman"/>
          <w:b/>
          <w:bCs/>
          <w:i/>
          <w:iCs/>
          <w:color w:val="000000"/>
        </w:rPr>
        <w:t>information et d</w:t>
      </w:r>
      <w:r w:rsidR="00570944">
        <w:rPr>
          <w:rFonts w:ascii="Times New Roman" w:hAnsi="Times New Roman" w:cs="Times New Roman"/>
          <w:b/>
          <w:bCs/>
          <w:i/>
          <w:iCs/>
          <w:color w:val="000000"/>
        </w:rPr>
        <w:t>’</w:t>
      </w:r>
      <w:r w:rsidR="0085253F">
        <w:rPr>
          <w:rFonts w:ascii="Times New Roman" w:hAnsi="Times New Roman" w:cs="Times New Roman"/>
          <w:b/>
          <w:bCs/>
          <w:i/>
          <w:iCs/>
          <w:color w:val="000000"/>
        </w:rPr>
        <w:t>éducation complets</w:t>
      </w:r>
      <w:r w:rsidR="00806880">
        <w:rPr>
          <w:rFonts w:ascii="Times New Roman" w:hAnsi="Times New Roman" w:cs="Times New Roman"/>
          <w:b/>
          <w:bCs/>
          <w:i/>
          <w:iCs/>
          <w:color w:val="000000"/>
        </w:rPr>
        <w:t xml:space="preserve"> (IEC)</w:t>
      </w:r>
      <w:r w:rsidR="005361B8">
        <w:rPr>
          <w:rFonts w:ascii="Times New Roman" w:hAnsi="Times New Roman" w:cs="Times New Roman"/>
          <w:b/>
          <w:bCs/>
          <w:i/>
          <w:iCs/>
          <w:color w:val="000000"/>
        </w:rPr>
        <w:t xml:space="preserve"> </w:t>
      </w:r>
    </w:p>
    <w:p w14:paraId="021451D9" w14:textId="4A06E799" w:rsidR="00CA5EC0" w:rsidRPr="00CA5EC0" w:rsidRDefault="0065662F" w:rsidP="00CA5EC0">
      <w:pPr>
        <w:pStyle w:val="ListParagraph"/>
        <w:numPr>
          <w:ilvl w:val="0"/>
          <w:numId w:val="12"/>
        </w:numPr>
        <w:jc w:val="both"/>
        <w:rPr>
          <w:rFonts w:ascii="Times New Roman" w:hAnsi="Times New Roman" w:cs="Times New Roman"/>
          <w:color w:val="000000"/>
        </w:rPr>
      </w:pPr>
      <w:r w:rsidRPr="00CA5EC0">
        <w:rPr>
          <w:rFonts w:ascii="Times New Roman" w:hAnsi="Times New Roman" w:cs="Times New Roman"/>
          <w:color w:val="000000"/>
        </w:rPr>
        <w:t>S</w:t>
      </w:r>
      <w:r w:rsidR="00570944" w:rsidRPr="00CA5EC0">
        <w:rPr>
          <w:rFonts w:ascii="Times New Roman" w:hAnsi="Times New Roman" w:cs="Times New Roman"/>
          <w:color w:val="000000"/>
        </w:rPr>
        <w:t>’</w:t>
      </w:r>
      <w:r w:rsidRPr="00CA5EC0">
        <w:rPr>
          <w:rFonts w:ascii="Times New Roman" w:hAnsi="Times New Roman" w:cs="Times New Roman"/>
          <w:color w:val="000000"/>
        </w:rPr>
        <w:t xml:space="preserve">assurer que </w:t>
      </w:r>
      <w:r w:rsidR="00CA5EC0" w:rsidRPr="00CA5EC0">
        <w:rPr>
          <w:rFonts w:ascii="Times New Roman" w:hAnsi="Times New Roman" w:cs="Times New Roman"/>
          <w:color w:val="000000"/>
        </w:rPr>
        <w:t>les adolescents et les jeunes bénéficient d’un processus d’enseignement et d’apprentissage s’appuyant sur un programme portant sur les aspects cognitifs, émotionnels, physiques et sociaux de la sexualité, visant à doter les enfants et les jeunes de connaissances, de compétences, d’attitudes et de valeurs qui leur donneront les moyens de s’épanouir – dans le respect de leur santé, de leur bien-être et de leur dignité</w:t>
      </w:r>
      <w:r w:rsidR="00CA5EC0">
        <w:rPr>
          <w:rFonts w:ascii="Times New Roman" w:hAnsi="Times New Roman" w:cs="Times New Roman"/>
          <w:color w:val="000000"/>
        </w:rPr>
        <w:t xml:space="preserve"> – </w:t>
      </w:r>
      <w:r w:rsidR="00CA5EC0" w:rsidRPr="00CA5EC0">
        <w:rPr>
          <w:rFonts w:ascii="Times New Roman" w:hAnsi="Times New Roman" w:cs="Times New Roman"/>
          <w:color w:val="000000"/>
        </w:rPr>
        <w:t>développer</w:t>
      </w:r>
      <w:r w:rsidR="00CA5EC0">
        <w:rPr>
          <w:rFonts w:ascii="Times New Roman" w:hAnsi="Times New Roman" w:cs="Times New Roman"/>
          <w:color w:val="000000"/>
        </w:rPr>
        <w:t xml:space="preserve"> </w:t>
      </w:r>
      <w:r w:rsidR="00CA5EC0" w:rsidRPr="00CA5EC0">
        <w:rPr>
          <w:rFonts w:ascii="Times New Roman" w:hAnsi="Times New Roman" w:cs="Times New Roman"/>
          <w:color w:val="000000"/>
        </w:rPr>
        <w:t>des relations sociales et sexuelles respectueuses</w:t>
      </w:r>
      <w:r w:rsidR="00CA5EC0">
        <w:rPr>
          <w:rFonts w:ascii="Times New Roman" w:hAnsi="Times New Roman" w:cs="Times New Roman"/>
          <w:color w:val="000000"/>
        </w:rPr>
        <w:t xml:space="preserve">, </w:t>
      </w:r>
      <w:r w:rsidR="00CA5EC0" w:rsidRPr="00CA5EC0">
        <w:rPr>
          <w:rFonts w:ascii="Times New Roman" w:hAnsi="Times New Roman" w:cs="Times New Roman"/>
          <w:color w:val="000000"/>
        </w:rPr>
        <w:t>réfléchir aux conséquences de leurs choix sur leur bien-être et sur celui des autres</w:t>
      </w:r>
      <w:r w:rsidR="00CA5EC0">
        <w:rPr>
          <w:rFonts w:ascii="Times New Roman" w:hAnsi="Times New Roman" w:cs="Times New Roman"/>
          <w:color w:val="000000"/>
        </w:rPr>
        <w:t>,</w:t>
      </w:r>
      <w:r w:rsidR="00CA5EC0" w:rsidRPr="00CA5EC0">
        <w:rPr>
          <w:rFonts w:ascii="Times New Roman" w:hAnsi="Times New Roman" w:cs="Times New Roman"/>
          <w:color w:val="000000"/>
        </w:rPr>
        <w:t xml:space="preserve"> </w:t>
      </w:r>
      <w:r w:rsidR="00CA5EC0">
        <w:rPr>
          <w:rFonts w:ascii="Times New Roman" w:hAnsi="Times New Roman" w:cs="Times New Roman"/>
          <w:color w:val="000000"/>
        </w:rPr>
        <w:t xml:space="preserve">et de </w:t>
      </w:r>
      <w:r w:rsidR="00CA5EC0" w:rsidRPr="00CA5EC0">
        <w:rPr>
          <w:rFonts w:ascii="Times New Roman" w:hAnsi="Times New Roman" w:cs="Times New Roman"/>
          <w:color w:val="000000"/>
        </w:rPr>
        <w:t>comprendre leurs droits et les défendre</w:t>
      </w:r>
      <w:r w:rsidR="00CA5EC0">
        <w:rPr>
          <w:rFonts w:ascii="Times New Roman" w:hAnsi="Times New Roman" w:cs="Times New Roman"/>
          <w:color w:val="000000"/>
        </w:rPr>
        <w:t xml:space="preserve">. </w:t>
      </w:r>
    </w:p>
    <w:p w14:paraId="340B340C" w14:textId="22038385" w:rsidR="0085253F" w:rsidRPr="00421384" w:rsidRDefault="00CA5EC0" w:rsidP="00627E7A">
      <w:pPr>
        <w:pStyle w:val="ListParagraph"/>
        <w:numPr>
          <w:ilvl w:val="0"/>
          <w:numId w:val="12"/>
        </w:numPr>
        <w:jc w:val="both"/>
        <w:rPr>
          <w:rFonts w:ascii="Times New Roman" w:hAnsi="Times New Roman" w:cs="Times New Roman"/>
          <w:color w:val="000000"/>
        </w:rPr>
      </w:pPr>
      <w:r w:rsidRPr="00421384">
        <w:rPr>
          <w:rFonts w:ascii="Times New Roman" w:hAnsi="Times New Roman" w:cs="Times New Roman"/>
          <w:color w:val="000000"/>
        </w:rPr>
        <w:t xml:space="preserve">Veiller à ce que </w:t>
      </w:r>
      <w:r w:rsidR="0065662F" w:rsidRPr="00421384">
        <w:rPr>
          <w:rFonts w:ascii="Times New Roman" w:hAnsi="Times New Roman" w:cs="Times New Roman"/>
          <w:color w:val="000000"/>
        </w:rPr>
        <w:t>l</w:t>
      </w:r>
      <w:r w:rsidR="002F7B38" w:rsidRPr="00421384">
        <w:rPr>
          <w:rFonts w:ascii="Times New Roman" w:hAnsi="Times New Roman" w:cs="Times New Roman"/>
          <w:color w:val="000000"/>
        </w:rPr>
        <w:t>’enseignement formel et non-formel com</w:t>
      </w:r>
      <w:r w:rsidR="0065662F" w:rsidRPr="00421384">
        <w:rPr>
          <w:rFonts w:ascii="Times New Roman" w:hAnsi="Times New Roman" w:cs="Times New Roman"/>
          <w:color w:val="000000"/>
        </w:rPr>
        <w:t>p</w:t>
      </w:r>
      <w:r w:rsidRPr="00421384">
        <w:rPr>
          <w:rFonts w:ascii="Times New Roman" w:hAnsi="Times New Roman" w:cs="Times New Roman"/>
          <w:color w:val="000000"/>
        </w:rPr>
        <w:t>renne</w:t>
      </w:r>
      <w:r w:rsidR="0065662F" w:rsidRPr="00421384">
        <w:rPr>
          <w:rFonts w:ascii="Times New Roman" w:hAnsi="Times New Roman" w:cs="Times New Roman"/>
          <w:color w:val="000000"/>
        </w:rPr>
        <w:t xml:space="preserve"> de</w:t>
      </w:r>
      <w:r w:rsidR="002F7B38" w:rsidRPr="00421384">
        <w:rPr>
          <w:rFonts w:ascii="Times New Roman" w:hAnsi="Times New Roman" w:cs="Times New Roman"/>
          <w:color w:val="000000"/>
        </w:rPr>
        <w:t>s</w:t>
      </w:r>
      <w:r w:rsidR="0065662F" w:rsidRPr="00421384">
        <w:rPr>
          <w:rFonts w:ascii="Times New Roman" w:hAnsi="Times New Roman" w:cs="Times New Roman"/>
          <w:color w:val="000000"/>
        </w:rPr>
        <w:t xml:space="preserve"> </w:t>
      </w:r>
      <w:r w:rsidR="0085253F" w:rsidRPr="00421384">
        <w:rPr>
          <w:rFonts w:ascii="Times New Roman" w:hAnsi="Times New Roman" w:cs="Times New Roman"/>
          <w:color w:val="000000"/>
        </w:rPr>
        <w:t>programmes complets, scientifiquement exacts, adaptés à chaque âge et tenant compte du contexte culturel, propres à apporter aux adolescents et aux jeunes des deux sexes, scolarisés ou non, des informations qui prennent en compte l</w:t>
      </w:r>
      <w:r w:rsidR="00570944" w:rsidRPr="00421384">
        <w:rPr>
          <w:rFonts w:ascii="Times New Roman" w:hAnsi="Times New Roman" w:cs="Times New Roman"/>
          <w:color w:val="000000"/>
        </w:rPr>
        <w:t>’</w:t>
      </w:r>
      <w:r w:rsidR="0085253F" w:rsidRPr="00421384">
        <w:rPr>
          <w:rFonts w:ascii="Times New Roman" w:hAnsi="Times New Roman" w:cs="Times New Roman"/>
          <w:color w:val="000000"/>
        </w:rPr>
        <w:t xml:space="preserve">évolution de leurs capacités concernant la </w:t>
      </w:r>
      <w:r w:rsidR="000542BD" w:rsidRPr="00421384">
        <w:rPr>
          <w:rFonts w:ascii="Times New Roman" w:hAnsi="Times New Roman" w:cs="Times New Roman"/>
          <w:color w:val="000000"/>
        </w:rPr>
        <w:t>SSR</w:t>
      </w:r>
      <w:r w:rsidR="00421384" w:rsidRPr="00421384">
        <w:rPr>
          <w:rFonts w:ascii="Times New Roman" w:hAnsi="Times New Roman" w:cs="Times New Roman"/>
          <w:color w:val="000000"/>
        </w:rPr>
        <w:t>, l’abstinence et le recul de l’âge de début d’activité sexuelle, l’utilisation du préservatif et des moyens de contraception,</w:t>
      </w:r>
      <w:r w:rsidR="0085253F" w:rsidRPr="00421384">
        <w:rPr>
          <w:rFonts w:ascii="Times New Roman" w:hAnsi="Times New Roman" w:cs="Times New Roman"/>
          <w:color w:val="000000"/>
        </w:rPr>
        <w:t xml:space="preserve"> la prévention du VIH, l</w:t>
      </w:r>
      <w:r w:rsidR="00570944" w:rsidRPr="00421384">
        <w:rPr>
          <w:rFonts w:ascii="Times New Roman" w:hAnsi="Times New Roman" w:cs="Times New Roman"/>
          <w:color w:val="000000"/>
        </w:rPr>
        <w:t>’</w:t>
      </w:r>
      <w:r w:rsidR="0085253F" w:rsidRPr="00421384">
        <w:rPr>
          <w:rFonts w:ascii="Times New Roman" w:hAnsi="Times New Roman" w:cs="Times New Roman"/>
          <w:color w:val="000000"/>
        </w:rPr>
        <w:t>égalité des genres et l</w:t>
      </w:r>
      <w:r w:rsidR="00570944" w:rsidRPr="00421384">
        <w:rPr>
          <w:rFonts w:ascii="Times New Roman" w:hAnsi="Times New Roman" w:cs="Times New Roman"/>
          <w:color w:val="000000"/>
        </w:rPr>
        <w:t>’</w:t>
      </w:r>
      <w:r w:rsidR="0085253F" w:rsidRPr="00421384">
        <w:rPr>
          <w:rFonts w:ascii="Times New Roman" w:hAnsi="Times New Roman" w:cs="Times New Roman"/>
          <w:color w:val="000000"/>
        </w:rPr>
        <w:t xml:space="preserve">autonomisation des femmes, les droits humains, le développement physique et physiologique et la puberté, la santé menstruelle, </w:t>
      </w:r>
      <w:r w:rsidR="00421384" w:rsidRPr="00421384">
        <w:rPr>
          <w:rFonts w:ascii="Times New Roman" w:hAnsi="Times New Roman" w:cs="Times New Roman"/>
          <w:color w:val="000000"/>
        </w:rPr>
        <w:t xml:space="preserve">la consommation des drogues et la toxicomanie, </w:t>
      </w:r>
      <w:r w:rsidR="0085253F" w:rsidRPr="00421384">
        <w:rPr>
          <w:rFonts w:ascii="Times New Roman" w:hAnsi="Times New Roman" w:cs="Times New Roman"/>
          <w:color w:val="000000"/>
        </w:rPr>
        <w:t xml:space="preserve">les dynamiques de pouvoir dans les relations entre femmes et hommes, en vue de renforcer leur estime de soi et de leur donner les moyens de prendre des décisions éclairées, de développer leur aptitude à communiquer, à maîtriser les risques, en plein partenariat avec les jeunes personnes, les parents, les tuteurs légaux, les pourvoyeurs de soins, les éducateurs et le personnel de santé, </w:t>
      </w:r>
      <w:r w:rsidR="00421384">
        <w:rPr>
          <w:rFonts w:ascii="Times New Roman" w:hAnsi="Times New Roman" w:cs="Times New Roman"/>
          <w:color w:val="000000"/>
        </w:rPr>
        <w:t>et</w:t>
      </w:r>
      <w:r w:rsidR="0085253F" w:rsidRPr="00421384">
        <w:rPr>
          <w:rFonts w:ascii="Times New Roman" w:hAnsi="Times New Roman" w:cs="Times New Roman"/>
          <w:color w:val="000000"/>
        </w:rPr>
        <w:t xml:space="preserve"> de promouvoir la santé et le bien-être des adolescents et des jeunes.</w:t>
      </w:r>
    </w:p>
    <w:p w14:paraId="291D1639" w14:textId="232AFC11" w:rsidR="00DD30F9" w:rsidRPr="00040D06" w:rsidRDefault="00992C05" w:rsidP="00DD30F9">
      <w:pPr>
        <w:pStyle w:val="ListParagraph"/>
        <w:numPr>
          <w:ilvl w:val="0"/>
          <w:numId w:val="12"/>
        </w:numPr>
        <w:jc w:val="both"/>
        <w:rPr>
          <w:rFonts w:ascii="Times New Roman" w:hAnsi="Times New Roman" w:cs="Times New Roman"/>
          <w:color w:val="000000"/>
        </w:rPr>
      </w:pPr>
      <w:r>
        <w:rPr>
          <w:rFonts w:ascii="Times New Roman" w:hAnsi="Times New Roman" w:cs="Times New Roman"/>
          <w:color w:val="000000"/>
        </w:rPr>
        <w:t xml:space="preserve">Veiller à ce que les programmes d’IEC </w:t>
      </w:r>
      <w:r w:rsidR="00F37671" w:rsidRPr="00040D06">
        <w:rPr>
          <w:rFonts w:ascii="Times New Roman" w:hAnsi="Times New Roman" w:cs="Times New Roman"/>
          <w:color w:val="000000"/>
        </w:rPr>
        <w:t xml:space="preserve">soient </w:t>
      </w:r>
      <w:r w:rsidR="00DD30F9" w:rsidRPr="00040D06">
        <w:rPr>
          <w:rFonts w:ascii="Times New Roman" w:hAnsi="Times New Roman" w:cs="Times New Roman"/>
          <w:color w:val="000000"/>
        </w:rPr>
        <w:t>accessible</w:t>
      </w:r>
      <w:r w:rsidR="00BF6BEA">
        <w:rPr>
          <w:rFonts w:ascii="Times New Roman" w:hAnsi="Times New Roman" w:cs="Times New Roman"/>
          <w:color w:val="000000"/>
        </w:rPr>
        <w:t>s</w:t>
      </w:r>
      <w:r w:rsidR="00DD30F9" w:rsidRPr="00040D06">
        <w:rPr>
          <w:rFonts w:ascii="Times New Roman" w:hAnsi="Times New Roman" w:cs="Times New Roman"/>
          <w:color w:val="000000"/>
        </w:rPr>
        <w:t xml:space="preserve"> </w:t>
      </w:r>
      <w:r w:rsidR="00BF4ACC">
        <w:rPr>
          <w:rFonts w:ascii="Times New Roman" w:hAnsi="Times New Roman" w:cs="Times New Roman"/>
          <w:color w:val="000000"/>
        </w:rPr>
        <w:t xml:space="preserve">et pertinents pour </w:t>
      </w:r>
      <w:r w:rsidR="00040D06" w:rsidRPr="00040D06">
        <w:rPr>
          <w:rFonts w:ascii="Times New Roman" w:hAnsi="Times New Roman" w:cs="Times New Roman"/>
          <w:color w:val="000000"/>
        </w:rPr>
        <w:t xml:space="preserve">tous, </w:t>
      </w:r>
      <w:r w:rsidR="00F37671" w:rsidRPr="00040D06">
        <w:rPr>
          <w:rFonts w:ascii="Times New Roman" w:hAnsi="Times New Roman" w:cs="Times New Roman"/>
          <w:color w:val="000000"/>
        </w:rPr>
        <w:t>y compris</w:t>
      </w:r>
      <w:r w:rsidR="00DD30F9" w:rsidRPr="00040D06">
        <w:rPr>
          <w:rFonts w:ascii="Times New Roman" w:hAnsi="Times New Roman" w:cs="Times New Roman"/>
          <w:color w:val="000000"/>
        </w:rPr>
        <w:t xml:space="preserve"> </w:t>
      </w:r>
      <w:r w:rsidR="007510BD">
        <w:rPr>
          <w:rFonts w:ascii="Times New Roman" w:hAnsi="Times New Roman" w:cs="Times New Roman"/>
          <w:color w:val="000000"/>
        </w:rPr>
        <w:t>pour les</w:t>
      </w:r>
      <w:r w:rsidR="00DD30F9" w:rsidRPr="00040D06">
        <w:rPr>
          <w:rFonts w:ascii="Times New Roman" w:hAnsi="Times New Roman" w:cs="Times New Roman"/>
          <w:color w:val="000000"/>
        </w:rPr>
        <w:t xml:space="preserve"> </w:t>
      </w:r>
      <w:r w:rsidR="00DB65B3">
        <w:rPr>
          <w:rFonts w:ascii="Times New Roman" w:hAnsi="Times New Roman" w:cs="Times New Roman"/>
          <w:color w:val="000000"/>
        </w:rPr>
        <w:t>adolescents et les jeunes</w:t>
      </w:r>
      <w:r w:rsidR="00DD30F9" w:rsidRPr="00040D06">
        <w:rPr>
          <w:rFonts w:ascii="Times New Roman" w:hAnsi="Times New Roman" w:cs="Times New Roman"/>
          <w:color w:val="000000"/>
        </w:rPr>
        <w:t xml:space="preserve"> vivant dans des zones difficiles à atteindre, </w:t>
      </w:r>
      <w:r>
        <w:rPr>
          <w:rFonts w:ascii="Times New Roman" w:hAnsi="Times New Roman" w:cs="Times New Roman"/>
          <w:color w:val="000000"/>
        </w:rPr>
        <w:t xml:space="preserve">scolarisés et déscolarisés, </w:t>
      </w:r>
      <w:r w:rsidR="00CA5EC0">
        <w:rPr>
          <w:rFonts w:ascii="Times New Roman" w:hAnsi="Times New Roman" w:cs="Times New Roman"/>
          <w:color w:val="000000"/>
        </w:rPr>
        <w:t xml:space="preserve">plus à risque d’exposition aux grossesses précoces et non-désirées, au VIH et aux VBG, </w:t>
      </w:r>
      <w:r w:rsidR="00DB65B3">
        <w:rPr>
          <w:rFonts w:ascii="Times New Roman" w:hAnsi="Times New Roman" w:cs="Times New Roman"/>
          <w:color w:val="000000"/>
        </w:rPr>
        <w:t xml:space="preserve">vivant avec le VIH, </w:t>
      </w:r>
      <w:r w:rsidR="00DD30F9" w:rsidRPr="00040D06">
        <w:rPr>
          <w:rFonts w:ascii="Times New Roman" w:hAnsi="Times New Roman" w:cs="Times New Roman"/>
          <w:color w:val="000000"/>
        </w:rPr>
        <w:t xml:space="preserve">vivant avec un handicap, et </w:t>
      </w:r>
      <w:r w:rsidR="00DB65B3">
        <w:rPr>
          <w:rFonts w:ascii="Times New Roman" w:hAnsi="Times New Roman" w:cs="Times New Roman"/>
          <w:color w:val="000000"/>
        </w:rPr>
        <w:t>des deux sexes</w:t>
      </w:r>
      <w:r w:rsidR="00DD30F9" w:rsidRPr="00040D06">
        <w:rPr>
          <w:rFonts w:ascii="Times New Roman" w:hAnsi="Times New Roman" w:cs="Times New Roman"/>
          <w:color w:val="000000"/>
        </w:rPr>
        <w:t xml:space="preserve">. </w:t>
      </w:r>
    </w:p>
    <w:p w14:paraId="7FA097DB" w14:textId="0AF4B421" w:rsidR="0065662F" w:rsidRDefault="00CA5EC0">
      <w:pPr>
        <w:pStyle w:val="ListParagraph"/>
        <w:numPr>
          <w:ilvl w:val="0"/>
          <w:numId w:val="12"/>
        </w:numPr>
        <w:jc w:val="both"/>
        <w:rPr>
          <w:rFonts w:ascii="Times New Roman" w:hAnsi="Times New Roman" w:cs="Times New Roman"/>
          <w:color w:val="000000"/>
        </w:rPr>
      </w:pPr>
      <w:r>
        <w:rPr>
          <w:rFonts w:ascii="Times New Roman" w:hAnsi="Times New Roman" w:cs="Times New Roman"/>
          <w:color w:val="000000"/>
        </w:rPr>
        <w:t>Impliquer</w:t>
      </w:r>
      <w:r w:rsidR="00F37671">
        <w:rPr>
          <w:rFonts w:ascii="Times New Roman" w:hAnsi="Times New Roman" w:cs="Times New Roman"/>
          <w:color w:val="000000"/>
        </w:rPr>
        <w:t xml:space="preserve"> les parties prenantes</w:t>
      </w:r>
      <w:r w:rsidR="00BF4ACC">
        <w:rPr>
          <w:rFonts w:ascii="Times New Roman" w:hAnsi="Times New Roman" w:cs="Times New Roman"/>
          <w:color w:val="000000"/>
        </w:rPr>
        <w:t xml:space="preserve"> – notamment les</w:t>
      </w:r>
      <w:r>
        <w:rPr>
          <w:rFonts w:ascii="Times New Roman" w:hAnsi="Times New Roman" w:cs="Times New Roman"/>
          <w:color w:val="000000"/>
        </w:rPr>
        <w:t xml:space="preserve"> adolescents et les</w:t>
      </w:r>
      <w:r w:rsidR="00BF4ACC">
        <w:rPr>
          <w:rFonts w:ascii="Times New Roman" w:hAnsi="Times New Roman" w:cs="Times New Roman"/>
          <w:color w:val="000000"/>
        </w:rPr>
        <w:t xml:space="preserve"> jeunes, les parents, les leaders traditionnels et religieux et les enseignants – </w:t>
      </w:r>
      <w:r w:rsidR="00F37671">
        <w:rPr>
          <w:rFonts w:ascii="Times New Roman" w:hAnsi="Times New Roman" w:cs="Times New Roman"/>
          <w:color w:val="000000"/>
        </w:rPr>
        <w:t xml:space="preserve">pour adapter les programmes </w:t>
      </w:r>
      <w:r w:rsidR="0065662F">
        <w:rPr>
          <w:rFonts w:ascii="Times New Roman" w:hAnsi="Times New Roman" w:cs="Times New Roman"/>
          <w:color w:val="000000"/>
        </w:rPr>
        <w:t>au</w:t>
      </w:r>
      <w:r w:rsidR="00F20D89">
        <w:rPr>
          <w:rFonts w:ascii="Times New Roman" w:hAnsi="Times New Roman" w:cs="Times New Roman"/>
          <w:color w:val="000000"/>
        </w:rPr>
        <w:t xml:space="preserve"> contexte national, </w:t>
      </w:r>
      <w:r w:rsidR="0065662F">
        <w:rPr>
          <w:rFonts w:ascii="Times New Roman" w:hAnsi="Times New Roman" w:cs="Times New Roman"/>
          <w:color w:val="000000"/>
        </w:rPr>
        <w:t xml:space="preserve">à la culture du pays, </w:t>
      </w:r>
      <w:r w:rsidR="00F20D89">
        <w:rPr>
          <w:rFonts w:ascii="Times New Roman" w:hAnsi="Times New Roman" w:cs="Times New Roman"/>
          <w:color w:val="000000"/>
        </w:rPr>
        <w:t xml:space="preserve">et aux besoins spécifiques des adolescents et des jeunes dans chaque contexte, </w:t>
      </w:r>
      <w:r w:rsidR="00DD30F9">
        <w:rPr>
          <w:rFonts w:ascii="Times New Roman" w:hAnsi="Times New Roman" w:cs="Times New Roman"/>
          <w:color w:val="000000"/>
        </w:rPr>
        <w:t>et s</w:t>
      </w:r>
      <w:r w:rsidR="00570944">
        <w:rPr>
          <w:rFonts w:ascii="Times New Roman" w:hAnsi="Times New Roman" w:cs="Times New Roman"/>
          <w:color w:val="000000"/>
        </w:rPr>
        <w:t>’</w:t>
      </w:r>
      <w:r w:rsidR="00DD30F9">
        <w:rPr>
          <w:rFonts w:ascii="Times New Roman" w:hAnsi="Times New Roman" w:cs="Times New Roman"/>
          <w:color w:val="000000"/>
        </w:rPr>
        <w:t xml:space="preserve">appuyer sur </w:t>
      </w:r>
      <w:r w:rsidR="00DD30F9" w:rsidRPr="00A7057C">
        <w:rPr>
          <w:rFonts w:ascii="Times New Roman" w:hAnsi="Times New Roman" w:cs="Times New Roman"/>
          <w:color w:val="000000"/>
        </w:rPr>
        <w:t>la science et les données probantes</w:t>
      </w:r>
      <w:r w:rsidR="00DD30F9">
        <w:rPr>
          <w:rFonts w:ascii="Times New Roman" w:hAnsi="Times New Roman" w:cs="Times New Roman"/>
          <w:color w:val="000000"/>
        </w:rPr>
        <w:t>, afin de renforcer</w:t>
      </w:r>
      <w:r w:rsidR="00DE7ACF">
        <w:rPr>
          <w:rFonts w:ascii="Times New Roman" w:hAnsi="Times New Roman" w:cs="Times New Roman"/>
          <w:color w:val="000000"/>
        </w:rPr>
        <w:t xml:space="preserve"> leur efficacité</w:t>
      </w:r>
      <w:r w:rsidR="00DD30F9" w:rsidRPr="00A7057C">
        <w:rPr>
          <w:rFonts w:ascii="Times New Roman" w:hAnsi="Times New Roman" w:cs="Times New Roman"/>
          <w:color w:val="000000"/>
        </w:rPr>
        <w:t xml:space="preserve">.  </w:t>
      </w:r>
    </w:p>
    <w:p w14:paraId="37F8238D" w14:textId="3A756EE1" w:rsidR="005361B8" w:rsidRPr="004D12AF" w:rsidRDefault="0065662F">
      <w:pPr>
        <w:pStyle w:val="ListParagraph"/>
        <w:numPr>
          <w:ilvl w:val="0"/>
          <w:numId w:val="12"/>
        </w:numPr>
        <w:jc w:val="both"/>
        <w:rPr>
          <w:rFonts w:ascii="Times New Roman" w:hAnsi="Times New Roman" w:cs="Times New Roman"/>
          <w:color w:val="000000"/>
        </w:rPr>
      </w:pPr>
      <w:r>
        <w:rPr>
          <w:rFonts w:ascii="Times New Roman" w:hAnsi="Times New Roman" w:cs="Times New Roman"/>
          <w:color w:val="000000"/>
        </w:rPr>
        <w:t>Veiller à ce que l</w:t>
      </w:r>
      <w:r w:rsidR="00570944">
        <w:rPr>
          <w:rFonts w:ascii="Times New Roman" w:hAnsi="Times New Roman" w:cs="Times New Roman"/>
          <w:color w:val="000000"/>
        </w:rPr>
        <w:t>’</w:t>
      </w:r>
      <w:r>
        <w:rPr>
          <w:rFonts w:ascii="Times New Roman" w:hAnsi="Times New Roman" w:cs="Times New Roman"/>
          <w:color w:val="000000"/>
        </w:rPr>
        <w:t xml:space="preserve">IEC </w:t>
      </w:r>
      <w:r w:rsidR="00DD30F9">
        <w:rPr>
          <w:rFonts w:ascii="Times New Roman" w:hAnsi="Times New Roman" w:cs="Times New Roman"/>
          <w:color w:val="000000"/>
        </w:rPr>
        <w:t xml:space="preserve">soient dispensées </w:t>
      </w:r>
      <w:r w:rsidR="00DD30F9" w:rsidRPr="007C3AE4">
        <w:rPr>
          <w:rFonts w:ascii="Times New Roman" w:hAnsi="Times New Roman" w:cs="Times New Roman"/>
          <w:color w:val="000000"/>
        </w:rPr>
        <w:t>à tous les niveaux</w:t>
      </w:r>
      <w:r w:rsidR="00DD30F9">
        <w:rPr>
          <w:rFonts w:ascii="Times New Roman" w:hAnsi="Times New Roman" w:cs="Times New Roman"/>
          <w:color w:val="000000"/>
        </w:rPr>
        <w:t>, du plus jeune âge jusqu</w:t>
      </w:r>
      <w:r w:rsidR="00570944">
        <w:rPr>
          <w:rFonts w:ascii="Times New Roman" w:hAnsi="Times New Roman" w:cs="Times New Roman"/>
          <w:color w:val="000000"/>
        </w:rPr>
        <w:t>’</w:t>
      </w:r>
      <w:r w:rsidR="00DD30F9">
        <w:rPr>
          <w:rFonts w:ascii="Times New Roman" w:hAnsi="Times New Roman" w:cs="Times New Roman"/>
          <w:color w:val="000000"/>
        </w:rPr>
        <w:t xml:space="preserve">au supérieur et être accessibles dans les cadres </w:t>
      </w:r>
      <w:r w:rsidR="00DD30F9">
        <w:rPr>
          <w:rFonts w:ascii="Times New Roman" w:hAnsi="Times New Roman"/>
          <w:color w:val="000000"/>
        </w:rPr>
        <w:t>scolaires et extra-scolaire</w:t>
      </w:r>
      <w:r w:rsidR="000542BD">
        <w:rPr>
          <w:rFonts w:ascii="Times New Roman" w:hAnsi="Times New Roman"/>
          <w:color w:val="000000"/>
        </w:rPr>
        <w:t>s</w:t>
      </w:r>
      <w:r w:rsidR="00DB65B3">
        <w:rPr>
          <w:rFonts w:ascii="Times New Roman" w:hAnsi="Times New Roman" w:cs="Times New Roman"/>
        </w:rPr>
        <w:t>.</w:t>
      </w:r>
    </w:p>
    <w:p w14:paraId="3FB18896" w14:textId="58482A86" w:rsidR="00B17037" w:rsidRPr="00040D06" w:rsidRDefault="00DD30F9" w:rsidP="00040D06">
      <w:pPr>
        <w:pStyle w:val="ListParagraph"/>
        <w:numPr>
          <w:ilvl w:val="0"/>
          <w:numId w:val="12"/>
        </w:numPr>
        <w:jc w:val="both"/>
        <w:rPr>
          <w:rFonts w:ascii="Times New Roman" w:hAnsi="Times New Roman" w:cs="Times New Roman"/>
          <w:color w:val="000000"/>
        </w:rPr>
      </w:pPr>
      <w:r w:rsidRPr="00040D06">
        <w:rPr>
          <w:rFonts w:ascii="Times New Roman" w:hAnsi="Times New Roman" w:cs="Times New Roman"/>
          <w:color w:val="000000"/>
        </w:rPr>
        <w:t>Revoir l</w:t>
      </w:r>
      <w:r w:rsidRPr="00277D37">
        <w:rPr>
          <w:rFonts w:ascii="Times New Roman" w:hAnsi="Times New Roman" w:cs="Times New Roman"/>
          <w:color w:val="000000"/>
        </w:rPr>
        <w:t xml:space="preserve">es programmes </w:t>
      </w:r>
      <w:r w:rsidR="00A7057C" w:rsidRPr="00040D06">
        <w:rPr>
          <w:rFonts w:ascii="Times New Roman" w:hAnsi="Times New Roman" w:cs="Times New Roman"/>
          <w:color w:val="000000"/>
        </w:rPr>
        <w:t>d</w:t>
      </w:r>
      <w:r w:rsidR="00570944">
        <w:rPr>
          <w:rFonts w:ascii="Times New Roman" w:hAnsi="Times New Roman" w:cs="Times New Roman"/>
          <w:color w:val="000000"/>
        </w:rPr>
        <w:t>’</w:t>
      </w:r>
      <w:r w:rsidR="00806880" w:rsidRPr="00277D37">
        <w:rPr>
          <w:rFonts w:ascii="Times New Roman" w:hAnsi="Times New Roman" w:cs="Times New Roman"/>
          <w:color w:val="000000"/>
        </w:rPr>
        <w:t>IEC</w:t>
      </w:r>
      <w:r w:rsidRPr="00277D37">
        <w:rPr>
          <w:rFonts w:ascii="Times New Roman" w:hAnsi="Times New Roman" w:cs="Times New Roman"/>
          <w:color w:val="000000"/>
        </w:rPr>
        <w:t xml:space="preserve"> </w:t>
      </w:r>
      <w:r w:rsidR="00A7057C" w:rsidRPr="00040D06">
        <w:rPr>
          <w:rFonts w:ascii="Times New Roman" w:hAnsi="Times New Roman" w:cs="Times New Roman"/>
          <w:color w:val="000000"/>
        </w:rPr>
        <w:t>afin d</w:t>
      </w:r>
      <w:r w:rsidR="00570944">
        <w:rPr>
          <w:rFonts w:ascii="Times New Roman" w:hAnsi="Times New Roman" w:cs="Times New Roman"/>
          <w:color w:val="000000"/>
        </w:rPr>
        <w:t>’</w:t>
      </w:r>
      <w:r w:rsidR="00311805" w:rsidRPr="00040D06">
        <w:rPr>
          <w:rFonts w:ascii="Times New Roman" w:hAnsi="Times New Roman" w:cs="Times New Roman"/>
          <w:color w:val="000000"/>
        </w:rPr>
        <w:t xml:space="preserve">identifier les forces et </w:t>
      </w:r>
      <w:r w:rsidR="00A7057C" w:rsidRPr="00040D06">
        <w:rPr>
          <w:rFonts w:ascii="Times New Roman" w:hAnsi="Times New Roman" w:cs="Times New Roman"/>
          <w:color w:val="000000"/>
        </w:rPr>
        <w:t xml:space="preserve">les </w:t>
      </w:r>
      <w:r w:rsidR="00311805" w:rsidRPr="00040D06">
        <w:rPr>
          <w:rFonts w:ascii="Times New Roman" w:hAnsi="Times New Roman" w:cs="Times New Roman"/>
          <w:color w:val="000000"/>
        </w:rPr>
        <w:t>lacunes en termes</w:t>
      </w:r>
      <w:r w:rsidRPr="00040D06">
        <w:rPr>
          <w:rFonts w:ascii="Times New Roman" w:hAnsi="Times New Roman" w:cs="Times New Roman"/>
          <w:color w:val="000000"/>
        </w:rPr>
        <w:t xml:space="preserve"> notamment</w:t>
      </w:r>
      <w:r w:rsidR="00311805" w:rsidRPr="00277D37">
        <w:rPr>
          <w:rFonts w:ascii="Times New Roman" w:hAnsi="Times New Roman" w:cs="Times New Roman"/>
          <w:color w:val="000000"/>
        </w:rPr>
        <w:t xml:space="preserve"> de planification, </w:t>
      </w:r>
      <w:r w:rsidR="00A7057C" w:rsidRPr="00984E13">
        <w:rPr>
          <w:rFonts w:ascii="Times New Roman" w:hAnsi="Times New Roman" w:cs="Times New Roman"/>
          <w:color w:val="000000"/>
        </w:rPr>
        <w:t xml:space="preserve">de </w:t>
      </w:r>
      <w:r w:rsidR="00311805" w:rsidRPr="00984E13">
        <w:rPr>
          <w:rFonts w:ascii="Times New Roman" w:hAnsi="Times New Roman" w:cs="Times New Roman"/>
          <w:color w:val="000000"/>
        </w:rPr>
        <w:t>contenu</w:t>
      </w:r>
      <w:r w:rsidRPr="00040D06">
        <w:rPr>
          <w:rFonts w:ascii="Times New Roman" w:hAnsi="Times New Roman" w:cs="Times New Roman"/>
          <w:color w:val="000000"/>
        </w:rPr>
        <w:t>s</w:t>
      </w:r>
      <w:r w:rsidR="002C7B95">
        <w:rPr>
          <w:rFonts w:ascii="Times New Roman" w:hAnsi="Times New Roman" w:cs="Times New Roman"/>
          <w:color w:val="000000"/>
        </w:rPr>
        <w:t xml:space="preserve">, </w:t>
      </w:r>
      <w:r w:rsidR="00A7057C" w:rsidRPr="00040D06">
        <w:rPr>
          <w:rFonts w:ascii="Times New Roman" w:hAnsi="Times New Roman" w:cs="Times New Roman"/>
          <w:color w:val="000000"/>
        </w:rPr>
        <w:t xml:space="preserve">de </w:t>
      </w:r>
      <w:r w:rsidR="00311805" w:rsidRPr="00040D06">
        <w:rPr>
          <w:rFonts w:ascii="Times New Roman" w:hAnsi="Times New Roman" w:cs="Times New Roman"/>
          <w:color w:val="000000"/>
        </w:rPr>
        <w:t xml:space="preserve">pédagogie, </w:t>
      </w:r>
      <w:r w:rsidR="002C7B95">
        <w:rPr>
          <w:rFonts w:ascii="Times New Roman" w:hAnsi="Times New Roman" w:cs="Times New Roman"/>
          <w:color w:val="000000"/>
        </w:rPr>
        <w:t xml:space="preserve">et </w:t>
      </w:r>
      <w:r w:rsidR="00A7057C" w:rsidRPr="00040D06">
        <w:rPr>
          <w:rFonts w:ascii="Times New Roman" w:hAnsi="Times New Roman" w:cs="Times New Roman"/>
          <w:color w:val="000000"/>
        </w:rPr>
        <w:t>de</w:t>
      </w:r>
      <w:r w:rsidR="00311805" w:rsidRPr="00040D06">
        <w:rPr>
          <w:rFonts w:ascii="Times New Roman" w:hAnsi="Times New Roman" w:cs="Times New Roman"/>
          <w:color w:val="000000"/>
        </w:rPr>
        <w:t xml:space="preserve"> formation et </w:t>
      </w:r>
      <w:r w:rsidR="00A7057C" w:rsidRPr="00040D06">
        <w:rPr>
          <w:rFonts w:ascii="Times New Roman" w:hAnsi="Times New Roman" w:cs="Times New Roman"/>
          <w:color w:val="000000"/>
        </w:rPr>
        <w:t xml:space="preserve">de </w:t>
      </w:r>
      <w:r w:rsidR="002C7B95">
        <w:rPr>
          <w:rFonts w:ascii="Times New Roman" w:hAnsi="Times New Roman" w:cs="Times New Roman"/>
          <w:color w:val="000000"/>
        </w:rPr>
        <w:t>soutien aux</w:t>
      </w:r>
      <w:r w:rsidR="00311805" w:rsidRPr="00040D06">
        <w:rPr>
          <w:rFonts w:ascii="Times New Roman" w:hAnsi="Times New Roman" w:cs="Times New Roman"/>
          <w:color w:val="000000"/>
        </w:rPr>
        <w:t xml:space="preserve"> éducateurs</w:t>
      </w:r>
      <w:r w:rsidRPr="00040D06">
        <w:rPr>
          <w:rFonts w:ascii="Times New Roman" w:hAnsi="Times New Roman" w:cs="Times New Roman"/>
          <w:color w:val="000000"/>
        </w:rPr>
        <w:t xml:space="preserve">. </w:t>
      </w:r>
    </w:p>
    <w:p w14:paraId="0583E449" w14:textId="676EBA1A" w:rsidR="00D92AF9" w:rsidRDefault="00812347">
      <w:pPr>
        <w:pStyle w:val="ListParagraph"/>
        <w:numPr>
          <w:ilvl w:val="0"/>
          <w:numId w:val="12"/>
        </w:numPr>
        <w:jc w:val="both"/>
        <w:rPr>
          <w:rFonts w:ascii="Times New Roman" w:hAnsi="Times New Roman" w:cs="Times New Roman"/>
          <w:color w:val="000000"/>
        </w:rPr>
      </w:pPr>
      <w:r w:rsidRPr="00812347">
        <w:rPr>
          <w:rFonts w:ascii="Times New Roman" w:hAnsi="Times New Roman" w:cs="Times New Roman"/>
          <w:color w:val="000000"/>
        </w:rPr>
        <w:t xml:space="preserve">Mettre en place une coordination multisectorielle </w:t>
      </w:r>
      <w:r w:rsidR="00EA3713">
        <w:rPr>
          <w:rFonts w:ascii="Times New Roman" w:hAnsi="Times New Roman" w:cs="Times New Roman"/>
          <w:color w:val="000000"/>
        </w:rPr>
        <w:t xml:space="preserve">de qualité </w:t>
      </w:r>
      <w:r w:rsidRPr="00812347">
        <w:rPr>
          <w:rFonts w:ascii="Times New Roman" w:hAnsi="Times New Roman" w:cs="Times New Roman"/>
          <w:color w:val="000000"/>
        </w:rPr>
        <w:t xml:space="preserve">en matière </w:t>
      </w:r>
      <w:r w:rsidR="00DB65B3">
        <w:rPr>
          <w:rFonts w:ascii="Times New Roman" w:hAnsi="Times New Roman" w:cs="Times New Roman"/>
          <w:color w:val="000000"/>
        </w:rPr>
        <w:t>d’IEC</w:t>
      </w:r>
      <w:r>
        <w:rPr>
          <w:rFonts w:ascii="Times New Roman" w:hAnsi="Times New Roman" w:cs="Times New Roman"/>
          <w:color w:val="000000"/>
        </w:rPr>
        <w:t> : r</w:t>
      </w:r>
      <w:r w:rsidR="004A216F" w:rsidRPr="004A216F">
        <w:rPr>
          <w:rFonts w:ascii="Times New Roman" w:hAnsi="Times New Roman" w:cs="Times New Roman"/>
          <w:color w:val="000000"/>
        </w:rPr>
        <w:t>enforcer l</w:t>
      </w:r>
      <w:r w:rsidR="004A216F">
        <w:rPr>
          <w:rFonts w:ascii="Times New Roman" w:hAnsi="Times New Roman" w:cs="Times New Roman"/>
          <w:color w:val="000000"/>
        </w:rPr>
        <w:t>a</w:t>
      </w:r>
      <w:r w:rsidR="004A216F" w:rsidRPr="004A216F">
        <w:rPr>
          <w:rFonts w:ascii="Times New Roman" w:hAnsi="Times New Roman" w:cs="Times New Roman"/>
          <w:color w:val="000000"/>
        </w:rPr>
        <w:t xml:space="preserve"> collaboration entre les </w:t>
      </w:r>
      <w:r w:rsidR="00DD30F9">
        <w:rPr>
          <w:rFonts w:ascii="Times New Roman" w:hAnsi="Times New Roman" w:cs="Times New Roman"/>
          <w:color w:val="000000"/>
        </w:rPr>
        <w:t xml:space="preserve">secteurs </w:t>
      </w:r>
      <w:r w:rsidR="005278DF">
        <w:rPr>
          <w:rFonts w:ascii="Times New Roman" w:hAnsi="Times New Roman"/>
          <w:color w:val="000000"/>
        </w:rPr>
        <w:t>(</w:t>
      </w:r>
      <w:r w:rsidR="004A216F" w:rsidRPr="004A216F">
        <w:rPr>
          <w:rFonts w:ascii="Times New Roman" w:hAnsi="Times New Roman"/>
          <w:color w:val="000000"/>
        </w:rPr>
        <w:t>éducation</w:t>
      </w:r>
      <w:r w:rsidR="00C35CF8">
        <w:rPr>
          <w:rFonts w:ascii="Times New Roman" w:hAnsi="Times New Roman"/>
          <w:color w:val="000000"/>
        </w:rPr>
        <w:t xml:space="preserve">, </w:t>
      </w:r>
      <w:r w:rsidR="004A216F" w:rsidRPr="004A216F">
        <w:rPr>
          <w:rFonts w:ascii="Times New Roman" w:hAnsi="Times New Roman" w:cs="Times New Roman"/>
          <w:color w:val="000000"/>
        </w:rPr>
        <w:t xml:space="preserve">santé, affaires féminines et </w:t>
      </w:r>
      <w:r w:rsidR="004A216F" w:rsidRPr="00277D37">
        <w:rPr>
          <w:rFonts w:ascii="Times New Roman" w:hAnsi="Times New Roman" w:cs="Times New Roman"/>
          <w:color w:val="000000"/>
        </w:rPr>
        <w:t>jeunesse</w:t>
      </w:r>
      <w:r w:rsidR="00C35CF8" w:rsidRPr="00277D37">
        <w:rPr>
          <w:rFonts w:ascii="Times New Roman" w:hAnsi="Times New Roman"/>
          <w:color w:val="000000"/>
        </w:rPr>
        <w:t>)</w:t>
      </w:r>
      <w:r w:rsidR="00522F5B" w:rsidRPr="00277D37">
        <w:rPr>
          <w:rFonts w:ascii="Times New Roman" w:hAnsi="Times New Roman"/>
          <w:color w:val="000000"/>
        </w:rPr>
        <w:t xml:space="preserve"> </w:t>
      </w:r>
      <w:r w:rsidR="00522F5B" w:rsidRPr="00040D06">
        <w:rPr>
          <w:rFonts w:ascii="Times New Roman" w:hAnsi="Times New Roman"/>
          <w:color w:val="000000"/>
        </w:rPr>
        <w:t>aux niveaux centraux et d</w:t>
      </w:r>
      <w:r w:rsidR="00DD30F9" w:rsidRPr="00040D06">
        <w:rPr>
          <w:rFonts w:ascii="Times New Roman" w:hAnsi="Times New Roman"/>
          <w:color w:val="000000"/>
        </w:rPr>
        <w:t>écentralisés</w:t>
      </w:r>
      <w:r w:rsidR="004A216F" w:rsidRPr="00277D37">
        <w:rPr>
          <w:rFonts w:ascii="Times New Roman" w:hAnsi="Times New Roman"/>
          <w:color w:val="000000"/>
        </w:rPr>
        <w:t>,</w:t>
      </w:r>
      <w:r w:rsidR="004A216F" w:rsidRPr="00277D37">
        <w:rPr>
          <w:rFonts w:ascii="Times New Roman" w:hAnsi="Times New Roman" w:cs="Times New Roman"/>
          <w:color w:val="000000"/>
        </w:rPr>
        <w:t xml:space="preserve"> </w:t>
      </w:r>
      <w:r w:rsidR="004A216F" w:rsidRPr="00984E13">
        <w:rPr>
          <w:rFonts w:ascii="Times New Roman" w:hAnsi="Times New Roman" w:cs="Times New Roman"/>
          <w:color w:val="000000"/>
        </w:rPr>
        <w:t>les</w:t>
      </w:r>
      <w:r w:rsidR="004A216F" w:rsidRPr="00984E13">
        <w:rPr>
          <w:rFonts w:ascii="Times New Roman" w:hAnsi="Times New Roman"/>
          <w:color w:val="000000"/>
        </w:rPr>
        <w:t xml:space="preserve"> </w:t>
      </w:r>
      <w:r w:rsidR="00C35CF8" w:rsidRPr="00040D06">
        <w:rPr>
          <w:rFonts w:ascii="Times New Roman" w:hAnsi="Times New Roman"/>
          <w:color w:val="000000"/>
        </w:rPr>
        <w:t>leaders</w:t>
      </w:r>
      <w:r w:rsidR="004A216F" w:rsidRPr="00040D06">
        <w:rPr>
          <w:rFonts w:ascii="Times New Roman" w:hAnsi="Times New Roman" w:cs="Times New Roman"/>
          <w:color w:val="000000"/>
        </w:rPr>
        <w:t xml:space="preserve"> religieux et traditionnels, les écoles, les comités de gestion des écoles, </w:t>
      </w:r>
      <w:r w:rsidR="005F1731" w:rsidRPr="00040D06">
        <w:rPr>
          <w:rFonts w:ascii="Times New Roman" w:hAnsi="Times New Roman" w:cs="Times New Roman"/>
          <w:color w:val="000000"/>
        </w:rPr>
        <w:t xml:space="preserve">les syndicats, </w:t>
      </w:r>
      <w:r w:rsidR="004A216F" w:rsidRPr="00040D06">
        <w:rPr>
          <w:rFonts w:ascii="Times New Roman" w:hAnsi="Times New Roman" w:cs="Times New Roman"/>
          <w:color w:val="000000"/>
        </w:rPr>
        <w:t>les</w:t>
      </w:r>
      <w:r w:rsidR="004A216F" w:rsidRPr="004A216F">
        <w:rPr>
          <w:rFonts w:ascii="Times New Roman" w:hAnsi="Times New Roman" w:cs="Times New Roman"/>
          <w:color w:val="000000"/>
        </w:rPr>
        <w:t xml:space="preserve"> associations de parents et d</w:t>
      </w:r>
      <w:r w:rsidR="00570944">
        <w:rPr>
          <w:rFonts w:ascii="Times New Roman" w:hAnsi="Times New Roman" w:cs="Times New Roman"/>
          <w:color w:val="000000"/>
        </w:rPr>
        <w:t>’</w:t>
      </w:r>
      <w:r w:rsidR="004A216F" w:rsidRPr="004A216F">
        <w:rPr>
          <w:rFonts w:ascii="Times New Roman" w:hAnsi="Times New Roman" w:cs="Times New Roman"/>
          <w:color w:val="000000"/>
        </w:rPr>
        <w:t>enseignants</w:t>
      </w:r>
      <w:r w:rsidR="00E531BB">
        <w:rPr>
          <w:rFonts w:ascii="Times New Roman" w:hAnsi="Times New Roman" w:cs="Times New Roman"/>
          <w:color w:val="000000"/>
        </w:rPr>
        <w:t>,</w:t>
      </w:r>
      <w:r w:rsidR="004A216F" w:rsidRPr="004A216F">
        <w:rPr>
          <w:rFonts w:ascii="Times New Roman" w:hAnsi="Times New Roman" w:cs="Times New Roman"/>
          <w:color w:val="000000"/>
        </w:rPr>
        <w:t xml:space="preserve"> les parents </w:t>
      </w:r>
      <w:r w:rsidR="00E531BB">
        <w:rPr>
          <w:rFonts w:ascii="Times New Roman" w:hAnsi="Times New Roman" w:cs="Times New Roman"/>
          <w:color w:val="000000"/>
        </w:rPr>
        <w:t>et les jeunes</w:t>
      </w:r>
      <w:r w:rsidR="00522F5B">
        <w:rPr>
          <w:rFonts w:ascii="Times New Roman" w:hAnsi="Times New Roman" w:cs="Times New Roman"/>
          <w:color w:val="000000"/>
        </w:rPr>
        <w:t xml:space="preserve"> et tout autre acteur clé </w:t>
      </w:r>
      <w:r w:rsidR="0051263F">
        <w:rPr>
          <w:rFonts w:ascii="Times New Roman" w:hAnsi="Times New Roman" w:cs="Times New Roman"/>
          <w:color w:val="000000"/>
        </w:rPr>
        <w:t xml:space="preserve">de </w:t>
      </w:r>
      <w:r w:rsidR="00522F5B">
        <w:rPr>
          <w:rFonts w:ascii="Times New Roman" w:hAnsi="Times New Roman" w:cs="Times New Roman"/>
          <w:color w:val="000000"/>
        </w:rPr>
        <w:t>la communauté</w:t>
      </w:r>
      <w:r w:rsidR="004A216F" w:rsidRPr="004A216F">
        <w:rPr>
          <w:rFonts w:ascii="Times New Roman" w:hAnsi="Times New Roman" w:cs="Times New Roman"/>
          <w:color w:val="000000"/>
        </w:rPr>
        <w:t>.</w:t>
      </w:r>
      <w:r w:rsidR="00A53731">
        <w:rPr>
          <w:rFonts w:ascii="Times New Roman" w:hAnsi="Times New Roman" w:cs="Times New Roman"/>
          <w:color w:val="000000"/>
        </w:rPr>
        <w:t xml:space="preserve"> </w:t>
      </w:r>
    </w:p>
    <w:p w14:paraId="7C966FB7" w14:textId="467A60DE" w:rsidR="00955FEA" w:rsidRPr="001D4648" w:rsidRDefault="00220A13" w:rsidP="001D4648">
      <w:pPr>
        <w:pStyle w:val="ListParagraph"/>
        <w:numPr>
          <w:ilvl w:val="0"/>
          <w:numId w:val="12"/>
        </w:numPr>
        <w:jc w:val="both"/>
        <w:rPr>
          <w:rFonts w:ascii="Times New Roman" w:hAnsi="Times New Roman" w:cs="Times New Roman"/>
          <w:color w:val="000000"/>
        </w:rPr>
      </w:pPr>
      <w:r>
        <w:rPr>
          <w:rFonts w:ascii="Times New Roman" w:hAnsi="Times New Roman" w:cs="Times New Roman"/>
          <w:color w:val="000000"/>
        </w:rPr>
        <w:t xml:space="preserve">Allouer les ressources budgétaires nécessaires pour </w:t>
      </w:r>
      <w:r w:rsidR="00DD30F9">
        <w:rPr>
          <w:rFonts w:ascii="Times New Roman" w:hAnsi="Times New Roman" w:cs="Times New Roman"/>
          <w:color w:val="000000"/>
        </w:rPr>
        <w:t xml:space="preserve">la mise en œuvre du </w:t>
      </w:r>
      <w:r>
        <w:rPr>
          <w:rFonts w:ascii="Times New Roman" w:hAnsi="Times New Roman" w:cs="Times New Roman"/>
          <w:color w:val="000000"/>
        </w:rPr>
        <w:t>programme d</w:t>
      </w:r>
      <w:r w:rsidR="00570944">
        <w:rPr>
          <w:rFonts w:ascii="Times New Roman" w:hAnsi="Times New Roman" w:cs="Times New Roman"/>
          <w:color w:val="000000"/>
        </w:rPr>
        <w:t>’</w:t>
      </w:r>
      <w:r w:rsidR="0051263F">
        <w:rPr>
          <w:rFonts w:ascii="Times New Roman" w:hAnsi="Times New Roman" w:cs="Times New Roman"/>
          <w:color w:val="000000"/>
        </w:rPr>
        <w:t>IEC</w:t>
      </w:r>
      <w:r w:rsidR="00DD30F9">
        <w:rPr>
          <w:rFonts w:ascii="Times New Roman" w:hAnsi="Times New Roman" w:cs="Times New Roman"/>
          <w:color w:val="000000"/>
        </w:rPr>
        <w:t xml:space="preserve"> et son passage à l</w:t>
      </w:r>
      <w:r w:rsidR="00570944">
        <w:rPr>
          <w:rFonts w:ascii="Times New Roman" w:hAnsi="Times New Roman" w:cs="Times New Roman"/>
          <w:color w:val="000000"/>
        </w:rPr>
        <w:t>’</w:t>
      </w:r>
      <w:r w:rsidR="00DD30F9">
        <w:rPr>
          <w:rFonts w:ascii="Times New Roman" w:hAnsi="Times New Roman" w:cs="Times New Roman"/>
          <w:color w:val="000000"/>
        </w:rPr>
        <w:t>échelle</w:t>
      </w:r>
      <w:r>
        <w:rPr>
          <w:rFonts w:ascii="Times New Roman" w:hAnsi="Times New Roman" w:cs="Times New Roman"/>
          <w:color w:val="000000"/>
        </w:rPr>
        <w:t xml:space="preserve">. </w:t>
      </w:r>
    </w:p>
    <w:p w14:paraId="0E3DA932" w14:textId="7F407052" w:rsidR="00F97BF7" w:rsidRPr="00ED744A" w:rsidRDefault="00ED744A" w:rsidP="00992C05">
      <w:pPr>
        <w:keepNext/>
        <w:jc w:val="both"/>
        <w:rPr>
          <w:rFonts w:ascii="Times New Roman" w:hAnsi="Times New Roman" w:cs="Times New Roman"/>
          <w:b/>
          <w:bCs/>
          <w:i/>
          <w:iCs/>
          <w:color w:val="000000"/>
        </w:rPr>
      </w:pPr>
      <w:r w:rsidRPr="00ED744A">
        <w:rPr>
          <w:rFonts w:ascii="Times New Roman" w:hAnsi="Times New Roman" w:cs="Times New Roman"/>
          <w:b/>
          <w:bCs/>
          <w:i/>
          <w:iCs/>
          <w:color w:val="000000"/>
        </w:rPr>
        <w:t>Capacités et formation des enseignants</w:t>
      </w:r>
    </w:p>
    <w:p w14:paraId="294BBE96" w14:textId="43B83EAF" w:rsidR="00FE1554" w:rsidRPr="001D4648" w:rsidRDefault="00ED3ECD" w:rsidP="00984E13">
      <w:pPr>
        <w:pStyle w:val="ListParagraph"/>
        <w:numPr>
          <w:ilvl w:val="0"/>
          <w:numId w:val="12"/>
        </w:numPr>
        <w:jc w:val="both"/>
        <w:rPr>
          <w:rFonts w:ascii="Times New Roman" w:hAnsi="Times New Roman" w:cs="Times New Roman"/>
          <w:color w:val="000000"/>
        </w:rPr>
      </w:pPr>
      <w:r w:rsidRPr="00984E13">
        <w:rPr>
          <w:rFonts w:ascii="Times New Roman" w:hAnsi="Times New Roman" w:cs="Times New Roman"/>
          <w:color w:val="000000"/>
        </w:rPr>
        <w:t>Renforcer</w:t>
      </w:r>
      <w:r w:rsidR="0078385C">
        <w:rPr>
          <w:rFonts w:ascii="Times New Roman" w:hAnsi="Times New Roman" w:cs="Times New Roman"/>
          <w:color w:val="000000"/>
        </w:rPr>
        <w:t>, par le biais de la formation initiale et de la formation continue,</w:t>
      </w:r>
      <w:r w:rsidRPr="00984E13">
        <w:rPr>
          <w:rFonts w:ascii="Times New Roman" w:hAnsi="Times New Roman" w:cs="Times New Roman"/>
          <w:color w:val="000000"/>
        </w:rPr>
        <w:t xml:space="preserve"> les capacités </w:t>
      </w:r>
      <w:r w:rsidRPr="001D4648">
        <w:rPr>
          <w:rFonts w:ascii="Times New Roman" w:hAnsi="Times New Roman" w:cs="Times New Roman"/>
          <w:color w:val="000000"/>
        </w:rPr>
        <w:t>de</w:t>
      </w:r>
      <w:r w:rsidR="00DD30F9" w:rsidRPr="001D4648">
        <w:rPr>
          <w:rFonts w:ascii="Times New Roman" w:hAnsi="Times New Roman" w:cs="Times New Roman"/>
          <w:color w:val="000000"/>
        </w:rPr>
        <w:t xml:space="preserve">s </w:t>
      </w:r>
      <w:r w:rsidRPr="001D4648">
        <w:rPr>
          <w:rFonts w:ascii="Times New Roman" w:hAnsi="Times New Roman" w:cs="Times New Roman"/>
          <w:color w:val="000000"/>
        </w:rPr>
        <w:t xml:space="preserve">enseignants </w:t>
      </w:r>
      <w:r w:rsidR="00DE7ACF">
        <w:rPr>
          <w:rFonts w:ascii="Times New Roman" w:hAnsi="Times New Roman" w:cs="Times New Roman"/>
          <w:color w:val="000000"/>
        </w:rPr>
        <w:t xml:space="preserve">à </w:t>
      </w:r>
      <w:r w:rsidR="0078385C">
        <w:rPr>
          <w:rFonts w:ascii="Times New Roman" w:hAnsi="Times New Roman" w:cs="Times New Roman"/>
          <w:color w:val="000000"/>
        </w:rPr>
        <w:t xml:space="preserve">délivrer une </w:t>
      </w:r>
      <w:r w:rsidR="00DD30F9" w:rsidRPr="001D4648">
        <w:rPr>
          <w:rFonts w:ascii="Times New Roman" w:hAnsi="Times New Roman" w:cs="Times New Roman"/>
          <w:color w:val="000000"/>
        </w:rPr>
        <w:t>IEC</w:t>
      </w:r>
      <w:r w:rsidR="00DE7ACF">
        <w:rPr>
          <w:rFonts w:ascii="Times New Roman" w:hAnsi="Times New Roman" w:cs="Times New Roman"/>
          <w:color w:val="000000"/>
        </w:rPr>
        <w:t xml:space="preserve"> </w:t>
      </w:r>
      <w:r w:rsidR="0078385C">
        <w:rPr>
          <w:rFonts w:ascii="Times New Roman" w:hAnsi="Times New Roman" w:cs="Times New Roman"/>
          <w:color w:val="000000"/>
        </w:rPr>
        <w:t xml:space="preserve">de qualité </w:t>
      </w:r>
      <w:r w:rsidR="00DE7ACF">
        <w:rPr>
          <w:rFonts w:ascii="Times New Roman" w:hAnsi="Times New Roman" w:cs="Times New Roman"/>
          <w:color w:val="000000"/>
        </w:rPr>
        <w:t xml:space="preserve">et à utiliser des </w:t>
      </w:r>
      <w:r w:rsidRPr="001D4648">
        <w:rPr>
          <w:rFonts w:ascii="Times New Roman" w:hAnsi="Times New Roman" w:cs="Times New Roman"/>
          <w:color w:val="000000"/>
        </w:rPr>
        <w:t>approches pédagogiques</w:t>
      </w:r>
      <w:r w:rsidR="00DE7ACF">
        <w:rPr>
          <w:rFonts w:ascii="Times New Roman" w:hAnsi="Times New Roman" w:cs="Times New Roman"/>
          <w:color w:val="000000"/>
        </w:rPr>
        <w:t xml:space="preserve"> participatives et </w:t>
      </w:r>
      <w:r w:rsidR="00DB65B3">
        <w:rPr>
          <w:rFonts w:ascii="Times New Roman" w:hAnsi="Times New Roman" w:cs="Times New Roman"/>
          <w:color w:val="000000"/>
        </w:rPr>
        <w:t>centrées</w:t>
      </w:r>
      <w:r w:rsidR="00DE7ACF">
        <w:rPr>
          <w:rFonts w:ascii="Times New Roman" w:hAnsi="Times New Roman" w:cs="Times New Roman"/>
          <w:color w:val="000000"/>
        </w:rPr>
        <w:t xml:space="preserve"> sur l</w:t>
      </w:r>
      <w:r w:rsidR="00570944">
        <w:rPr>
          <w:rFonts w:ascii="Times New Roman" w:hAnsi="Times New Roman" w:cs="Times New Roman"/>
          <w:color w:val="000000"/>
        </w:rPr>
        <w:t>’</w:t>
      </w:r>
      <w:r w:rsidR="00DE7ACF">
        <w:rPr>
          <w:rFonts w:ascii="Times New Roman" w:hAnsi="Times New Roman" w:cs="Times New Roman"/>
          <w:color w:val="000000"/>
        </w:rPr>
        <w:t>apprenant</w:t>
      </w:r>
      <w:r w:rsidR="0078385C">
        <w:rPr>
          <w:rFonts w:ascii="Times New Roman" w:hAnsi="Times New Roman" w:cs="Times New Roman"/>
          <w:color w:val="000000"/>
        </w:rPr>
        <w:t xml:space="preserve"> ; ceci </w:t>
      </w:r>
      <w:r w:rsidR="00277D37" w:rsidRPr="001D4648">
        <w:rPr>
          <w:rFonts w:ascii="Times New Roman" w:hAnsi="Times New Roman" w:cs="Times New Roman"/>
          <w:color w:val="000000"/>
        </w:rPr>
        <w:t xml:space="preserve">implique </w:t>
      </w:r>
      <w:r w:rsidR="0078385C">
        <w:rPr>
          <w:rFonts w:ascii="Times New Roman" w:hAnsi="Times New Roman" w:cs="Times New Roman"/>
          <w:color w:val="000000"/>
        </w:rPr>
        <w:t xml:space="preserve">également </w:t>
      </w:r>
      <w:r w:rsidR="00277D37" w:rsidRPr="001D4648">
        <w:rPr>
          <w:rFonts w:ascii="Times New Roman" w:hAnsi="Times New Roman" w:cs="Times New Roman"/>
          <w:color w:val="000000"/>
        </w:rPr>
        <w:t>de r</w:t>
      </w:r>
      <w:r w:rsidR="00FE1554" w:rsidRPr="00984E13">
        <w:rPr>
          <w:rFonts w:ascii="Times New Roman" w:hAnsi="Times New Roman" w:cs="Times New Roman"/>
          <w:color w:val="000000"/>
        </w:rPr>
        <w:t xml:space="preserve">enforcer la capacité </w:t>
      </w:r>
      <w:r w:rsidR="00277D37" w:rsidRPr="00867B03">
        <w:rPr>
          <w:rFonts w:ascii="Times New Roman" w:hAnsi="Times New Roman" w:cs="Times New Roman"/>
          <w:color w:val="000000"/>
        </w:rPr>
        <w:t xml:space="preserve">des </w:t>
      </w:r>
      <w:r w:rsidR="00277D37">
        <w:rPr>
          <w:rFonts w:ascii="Times New Roman" w:hAnsi="Times New Roman" w:cs="Times New Roman"/>
          <w:color w:val="000000"/>
        </w:rPr>
        <w:t>formateurs d</w:t>
      </w:r>
      <w:r w:rsidR="00570944">
        <w:rPr>
          <w:rFonts w:ascii="Times New Roman" w:hAnsi="Times New Roman" w:cs="Times New Roman"/>
          <w:color w:val="000000"/>
        </w:rPr>
        <w:t>’</w:t>
      </w:r>
      <w:r w:rsidR="00277D37">
        <w:rPr>
          <w:rFonts w:ascii="Times New Roman" w:hAnsi="Times New Roman" w:cs="Times New Roman"/>
          <w:color w:val="000000"/>
        </w:rPr>
        <w:t>enseignants</w:t>
      </w:r>
      <w:r w:rsidR="0078385C">
        <w:rPr>
          <w:rFonts w:ascii="Times New Roman" w:hAnsi="Times New Roman" w:cs="Times New Roman"/>
          <w:color w:val="000000"/>
        </w:rPr>
        <w:t xml:space="preserve"> et des inspecteurs</w:t>
      </w:r>
      <w:r w:rsidR="00FE1554" w:rsidRPr="001D4648">
        <w:rPr>
          <w:rFonts w:ascii="Times New Roman" w:hAnsi="Times New Roman" w:cs="Times New Roman"/>
          <w:color w:val="000000"/>
        </w:rPr>
        <w:t>.</w:t>
      </w:r>
    </w:p>
    <w:p w14:paraId="7BFB3769" w14:textId="4979DE90" w:rsidR="00DE7ACF" w:rsidRDefault="00FE1554" w:rsidP="00DE7ACF">
      <w:pPr>
        <w:pStyle w:val="ListParagraph"/>
        <w:numPr>
          <w:ilvl w:val="0"/>
          <w:numId w:val="12"/>
        </w:numPr>
        <w:jc w:val="both"/>
        <w:rPr>
          <w:rFonts w:ascii="Times New Roman" w:hAnsi="Times New Roman" w:cs="Times New Roman"/>
          <w:color w:val="000000"/>
        </w:rPr>
      </w:pPr>
      <w:r w:rsidRPr="00FE1554">
        <w:rPr>
          <w:rFonts w:ascii="Times New Roman" w:hAnsi="Times New Roman" w:cs="Times New Roman"/>
          <w:color w:val="000000"/>
        </w:rPr>
        <w:lastRenderedPageBreak/>
        <w:t xml:space="preserve">Développer et disséminer des supports pédagogiques et des outils de formation </w:t>
      </w:r>
      <w:r w:rsidR="006D0820">
        <w:rPr>
          <w:rFonts w:ascii="Times New Roman" w:hAnsi="Times New Roman" w:cs="Times New Roman"/>
          <w:color w:val="000000"/>
        </w:rPr>
        <w:t xml:space="preserve">et </w:t>
      </w:r>
      <w:r w:rsidR="00741279">
        <w:rPr>
          <w:rFonts w:ascii="Times New Roman" w:hAnsi="Times New Roman" w:cs="Times New Roman"/>
          <w:color w:val="000000"/>
        </w:rPr>
        <w:t>d</w:t>
      </w:r>
      <w:r w:rsidR="00570944">
        <w:rPr>
          <w:rFonts w:ascii="Times New Roman" w:hAnsi="Times New Roman" w:cs="Times New Roman"/>
          <w:color w:val="000000"/>
        </w:rPr>
        <w:t>’</w:t>
      </w:r>
      <w:r w:rsidR="006D0820">
        <w:rPr>
          <w:rFonts w:ascii="Times New Roman" w:hAnsi="Times New Roman" w:cs="Times New Roman"/>
          <w:color w:val="000000"/>
        </w:rPr>
        <w:t xml:space="preserve">accompagnement </w:t>
      </w:r>
      <w:r w:rsidRPr="00FE1554">
        <w:rPr>
          <w:rFonts w:ascii="Times New Roman" w:hAnsi="Times New Roman" w:cs="Times New Roman"/>
          <w:color w:val="000000"/>
        </w:rPr>
        <w:t>adéquats pour soutenir l</w:t>
      </w:r>
      <w:r w:rsidR="00570944">
        <w:rPr>
          <w:rFonts w:ascii="Times New Roman" w:hAnsi="Times New Roman" w:cs="Times New Roman"/>
          <w:color w:val="000000"/>
        </w:rPr>
        <w:t>’</w:t>
      </w:r>
      <w:r w:rsidRPr="00FE1554">
        <w:rPr>
          <w:rFonts w:ascii="Times New Roman" w:hAnsi="Times New Roman" w:cs="Times New Roman"/>
          <w:color w:val="000000"/>
        </w:rPr>
        <w:t xml:space="preserve">enseignement de </w:t>
      </w:r>
      <w:r w:rsidR="00277D37">
        <w:rPr>
          <w:rFonts w:ascii="Times New Roman" w:hAnsi="Times New Roman" w:cs="Times New Roman"/>
          <w:color w:val="000000"/>
        </w:rPr>
        <w:t>l</w:t>
      </w:r>
      <w:r w:rsidR="00570944">
        <w:rPr>
          <w:rFonts w:ascii="Times New Roman" w:hAnsi="Times New Roman" w:cs="Times New Roman"/>
          <w:color w:val="000000"/>
        </w:rPr>
        <w:t>’</w:t>
      </w:r>
      <w:r w:rsidR="00277D37">
        <w:rPr>
          <w:rFonts w:ascii="Times New Roman" w:hAnsi="Times New Roman" w:cs="Times New Roman"/>
          <w:color w:val="000000"/>
        </w:rPr>
        <w:t>IEC</w:t>
      </w:r>
      <w:r w:rsidRPr="00FE1554">
        <w:rPr>
          <w:rFonts w:ascii="Times New Roman" w:hAnsi="Times New Roman" w:cs="Times New Roman"/>
          <w:color w:val="000000"/>
        </w:rPr>
        <w:t xml:space="preserve"> en milieu formel et non formel</w:t>
      </w:r>
      <w:r w:rsidR="00E531BB">
        <w:rPr>
          <w:rFonts w:ascii="Times New Roman" w:hAnsi="Times New Roman" w:cs="Times New Roman"/>
          <w:color w:val="000000"/>
        </w:rPr>
        <w:t> </w:t>
      </w:r>
      <w:r w:rsidR="00277D37">
        <w:rPr>
          <w:rFonts w:ascii="Times New Roman" w:hAnsi="Times New Roman" w:cs="Times New Roman"/>
          <w:color w:val="000000"/>
        </w:rPr>
        <w:t xml:space="preserve">et </w:t>
      </w:r>
      <w:r w:rsidR="00E531BB">
        <w:rPr>
          <w:rFonts w:ascii="Times New Roman" w:hAnsi="Times New Roman" w:cs="Times New Roman"/>
          <w:color w:val="000000"/>
        </w:rPr>
        <w:t>i</w:t>
      </w:r>
      <w:r w:rsidR="00E531BB" w:rsidRPr="00D92AF9">
        <w:rPr>
          <w:rFonts w:ascii="Times New Roman" w:hAnsi="Times New Roman" w:cs="Times New Roman"/>
          <w:color w:val="000000"/>
        </w:rPr>
        <w:t>mpliquer les jeunes dans l</w:t>
      </w:r>
      <w:r w:rsidR="00570944">
        <w:rPr>
          <w:rFonts w:ascii="Times New Roman" w:hAnsi="Times New Roman" w:cs="Times New Roman"/>
          <w:color w:val="000000"/>
        </w:rPr>
        <w:t>’</w:t>
      </w:r>
      <w:r w:rsidR="00E531BB" w:rsidRPr="00D92AF9">
        <w:rPr>
          <w:rFonts w:ascii="Times New Roman" w:hAnsi="Times New Roman" w:cs="Times New Roman"/>
          <w:color w:val="000000"/>
        </w:rPr>
        <w:t>élaboration d</w:t>
      </w:r>
      <w:r w:rsidR="00D94E97">
        <w:rPr>
          <w:rFonts w:ascii="Times New Roman" w:hAnsi="Times New Roman" w:cs="Times New Roman"/>
          <w:color w:val="000000"/>
        </w:rPr>
        <w:t>e</w:t>
      </w:r>
      <w:r w:rsidR="00277D37">
        <w:rPr>
          <w:rFonts w:ascii="Times New Roman" w:hAnsi="Times New Roman" w:cs="Times New Roman"/>
          <w:color w:val="000000"/>
        </w:rPr>
        <w:t xml:space="preserve"> ce</w:t>
      </w:r>
      <w:r w:rsidR="00D94E97">
        <w:rPr>
          <w:rFonts w:ascii="Times New Roman" w:hAnsi="Times New Roman" w:cs="Times New Roman"/>
          <w:color w:val="000000"/>
        </w:rPr>
        <w:t xml:space="preserve">s </w:t>
      </w:r>
      <w:r w:rsidR="00E531BB" w:rsidRPr="00D92AF9">
        <w:rPr>
          <w:rFonts w:ascii="Times New Roman" w:hAnsi="Times New Roman" w:cs="Times New Roman"/>
          <w:color w:val="000000"/>
        </w:rPr>
        <w:t>outils</w:t>
      </w:r>
      <w:r w:rsidR="00DE7ACF">
        <w:rPr>
          <w:rFonts w:ascii="Times New Roman" w:hAnsi="Times New Roman" w:cs="Times New Roman"/>
          <w:color w:val="000000"/>
        </w:rPr>
        <w:t> ; t</w:t>
      </w:r>
      <w:r w:rsidR="00DE7ACF" w:rsidRPr="00D92AF9">
        <w:rPr>
          <w:rFonts w:ascii="Times New Roman" w:hAnsi="Times New Roman" w:cs="Times New Roman"/>
          <w:color w:val="000000"/>
        </w:rPr>
        <w:t>irer profit de l</w:t>
      </w:r>
      <w:r w:rsidR="00570944">
        <w:rPr>
          <w:rFonts w:ascii="Times New Roman" w:hAnsi="Times New Roman" w:cs="Times New Roman"/>
          <w:color w:val="000000"/>
        </w:rPr>
        <w:t>’</w:t>
      </w:r>
      <w:r w:rsidR="00DE7ACF" w:rsidRPr="00D92AF9">
        <w:rPr>
          <w:rFonts w:ascii="Times New Roman" w:hAnsi="Times New Roman" w:cs="Times New Roman"/>
          <w:color w:val="000000"/>
        </w:rPr>
        <w:t>existence d</w:t>
      </w:r>
      <w:r w:rsidR="00570944">
        <w:rPr>
          <w:rFonts w:ascii="Times New Roman" w:hAnsi="Times New Roman" w:cs="Times New Roman"/>
          <w:color w:val="000000"/>
        </w:rPr>
        <w:t>’</w:t>
      </w:r>
      <w:r w:rsidR="00DE7ACF" w:rsidRPr="00D92AF9">
        <w:rPr>
          <w:rFonts w:ascii="Times New Roman" w:hAnsi="Times New Roman" w:cs="Times New Roman"/>
          <w:color w:val="000000"/>
        </w:rPr>
        <w:t xml:space="preserve">outils numériques et technologiques innovants pour élaborer des </w:t>
      </w:r>
      <w:r w:rsidR="00DE7ACF">
        <w:rPr>
          <w:rFonts w:ascii="Times New Roman" w:hAnsi="Times New Roman" w:cs="Times New Roman"/>
          <w:color w:val="000000"/>
        </w:rPr>
        <w:t>ressources</w:t>
      </w:r>
      <w:r w:rsidR="00DE7ACF" w:rsidRPr="00D92AF9">
        <w:rPr>
          <w:rFonts w:ascii="Times New Roman" w:hAnsi="Times New Roman" w:cs="Times New Roman"/>
          <w:color w:val="000000"/>
        </w:rPr>
        <w:t xml:space="preserve"> </w:t>
      </w:r>
      <w:r w:rsidR="00DE7ACF">
        <w:rPr>
          <w:rFonts w:ascii="Times New Roman" w:hAnsi="Times New Roman" w:cs="Times New Roman"/>
          <w:color w:val="000000"/>
        </w:rPr>
        <w:t>utilisables par</w:t>
      </w:r>
      <w:r w:rsidR="00DE7ACF" w:rsidRPr="00D92AF9">
        <w:rPr>
          <w:rFonts w:ascii="Times New Roman" w:hAnsi="Times New Roman" w:cs="Times New Roman"/>
          <w:color w:val="000000"/>
        </w:rPr>
        <w:t xml:space="preserve"> les enseignants </w:t>
      </w:r>
      <w:r w:rsidR="00DE7ACF">
        <w:rPr>
          <w:rFonts w:ascii="Times New Roman" w:hAnsi="Times New Roman" w:cs="Times New Roman"/>
          <w:color w:val="000000"/>
        </w:rPr>
        <w:t xml:space="preserve">et les élèves, et qui soient </w:t>
      </w:r>
      <w:r w:rsidR="00DE7ACF" w:rsidRPr="00D92AF9">
        <w:rPr>
          <w:rFonts w:ascii="Times New Roman" w:hAnsi="Times New Roman" w:cs="Times New Roman"/>
          <w:color w:val="000000"/>
        </w:rPr>
        <w:t>adapté</w:t>
      </w:r>
      <w:r w:rsidR="00DE7ACF">
        <w:rPr>
          <w:rFonts w:ascii="Times New Roman" w:hAnsi="Times New Roman" w:cs="Times New Roman"/>
          <w:color w:val="000000"/>
        </w:rPr>
        <w:t>e</w:t>
      </w:r>
      <w:r w:rsidR="00DE7ACF" w:rsidRPr="00D92AF9">
        <w:rPr>
          <w:rFonts w:ascii="Times New Roman" w:hAnsi="Times New Roman" w:cs="Times New Roman"/>
          <w:color w:val="000000"/>
        </w:rPr>
        <w:t>s aux besoins des</w:t>
      </w:r>
      <w:r w:rsidR="00DE7ACF">
        <w:rPr>
          <w:rFonts w:ascii="Times New Roman" w:hAnsi="Times New Roman" w:cs="Times New Roman"/>
          <w:color w:val="000000"/>
        </w:rPr>
        <w:t xml:space="preserve"> enseignants/encadreurs et</w:t>
      </w:r>
      <w:r w:rsidR="00DE7ACF" w:rsidRPr="00D92AF9">
        <w:rPr>
          <w:rFonts w:ascii="Times New Roman" w:hAnsi="Times New Roman" w:cs="Times New Roman"/>
          <w:color w:val="000000"/>
        </w:rPr>
        <w:t xml:space="preserve"> </w:t>
      </w:r>
      <w:r w:rsidR="00DE7ACF">
        <w:rPr>
          <w:rFonts w:ascii="Times New Roman" w:hAnsi="Times New Roman" w:cs="Times New Roman"/>
          <w:color w:val="000000"/>
        </w:rPr>
        <w:t xml:space="preserve">des </w:t>
      </w:r>
      <w:r w:rsidR="00DE7ACF" w:rsidRPr="00D92AF9">
        <w:rPr>
          <w:rFonts w:ascii="Times New Roman" w:hAnsi="Times New Roman" w:cs="Times New Roman"/>
          <w:color w:val="000000"/>
        </w:rPr>
        <w:t>apprenants</w:t>
      </w:r>
      <w:r w:rsidR="00DE7ACF">
        <w:rPr>
          <w:rFonts w:ascii="Times New Roman" w:hAnsi="Times New Roman" w:cs="Times New Roman"/>
          <w:color w:val="000000"/>
        </w:rPr>
        <w:t>, en particulier ceux vivant dans les zones rurales et reculées</w:t>
      </w:r>
      <w:r w:rsidR="00DE7ACF" w:rsidRPr="00D92AF9">
        <w:rPr>
          <w:rFonts w:ascii="Times New Roman" w:hAnsi="Times New Roman" w:cs="Times New Roman"/>
          <w:color w:val="000000"/>
        </w:rPr>
        <w:t>.</w:t>
      </w:r>
    </w:p>
    <w:p w14:paraId="3694499B" w14:textId="35CC5515" w:rsidR="006D0820" w:rsidRDefault="00741279">
      <w:pPr>
        <w:pStyle w:val="ListParagraph"/>
        <w:numPr>
          <w:ilvl w:val="0"/>
          <w:numId w:val="12"/>
        </w:numPr>
        <w:jc w:val="both"/>
        <w:rPr>
          <w:rFonts w:ascii="Times New Roman" w:hAnsi="Times New Roman" w:cs="Times New Roman"/>
          <w:color w:val="000000"/>
        </w:rPr>
      </w:pPr>
      <w:r>
        <w:rPr>
          <w:rFonts w:ascii="Times New Roman" w:hAnsi="Times New Roman" w:cs="Times New Roman"/>
          <w:color w:val="000000"/>
        </w:rPr>
        <w:t xml:space="preserve">Développer ou renforcer les </w:t>
      </w:r>
      <w:r w:rsidR="006D0820">
        <w:rPr>
          <w:rFonts w:ascii="Times New Roman" w:hAnsi="Times New Roman" w:cs="Times New Roman"/>
          <w:color w:val="000000"/>
        </w:rPr>
        <w:t>systèmes d</w:t>
      </w:r>
      <w:r w:rsidR="00570944">
        <w:rPr>
          <w:rFonts w:ascii="Times New Roman" w:hAnsi="Times New Roman" w:cs="Times New Roman"/>
          <w:color w:val="000000"/>
        </w:rPr>
        <w:t>’</w:t>
      </w:r>
      <w:r w:rsidR="006D0820">
        <w:rPr>
          <w:rFonts w:ascii="Times New Roman" w:hAnsi="Times New Roman" w:cs="Times New Roman"/>
          <w:color w:val="000000"/>
        </w:rPr>
        <w:t xml:space="preserve">assurance qualité </w:t>
      </w:r>
      <w:r w:rsidR="00863505">
        <w:rPr>
          <w:rFonts w:ascii="Times New Roman" w:hAnsi="Times New Roman" w:cs="Times New Roman"/>
          <w:color w:val="000000"/>
        </w:rPr>
        <w:t>d</w:t>
      </w:r>
      <w:r>
        <w:rPr>
          <w:rFonts w:ascii="Times New Roman" w:hAnsi="Times New Roman" w:cs="Times New Roman"/>
          <w:color w:val="000000"/>
        </w:rPr>
        <w:t>ans l</w:t>
      </w:r>
      <w:r w:rsidR="00570944">
        <w:rPr>
          <w:rFonts w:ascii="Times New Roman" w:hAnsi="Times New Roman" w:cs="Times New Roman"/>
          <w:color w:val="000000"/>
        </w:rPr>
        <w:t>’</w:t>
      </w:r>
      <w:r w:rsidR="00863505">
        <w:rPr>
          <w:rFonts w:ascii="Times New Roman" w:hAnsi="Times New Roman" w:cs="Times New Roman"/>
          <w:color w:val="000000"/>
        </w:rPr>
        <w:t xml:space="preserve">enseignement : </w:t>
      </w:r>
      <w:r w:rsidR="006D0820">
        <w:rPr>
          <w:rFonts w:ascii="Times New Roman" w:hAnsi="Times New Roman" w:cs="Times New Roman"/>
          <w:color w:val="000000"/>
        </w:rPr>
        <w:t>accompagnement</w:t>
      </w:r>
      <w:r w:rsidR="00863505">
        <w:rPr>
          <w:rFonts w:ascii="Times New Roman" w:hAnsi="Times New Roman" w:cs="Times New Roman"/>
          <w:color w:val="000000"/>
        </w:rPr>
        <w:t xml:space="preserve"> et supervision des enseignants et </w:t>
      </w:r>
      <w:r w:rsidR="00277D37">
        <w:rPr>
          <w:rFonts w:ascii="Times New Roman" w:hAnsi="Times New Roman" w:cs="Times New Roman"/>
          <w:color w:val="000000"/>
        </w:rPr>
        <w:t xml:space="preserve">des </w:t>
      </w:r>
      <w:r w:rsidR="00863505">
        <w:rPr>
          <w:rFonts w:ascii="Times New Roman" w:hAnsi="Times New Roman" w:cs="Times New Roman"/>
          <w:color w:val="000000"/>
        </w:rPr>
        <w:t>encadreurs</w:t>
      </w:r>
      <w:r w:rsidR="006D0820">
        <w:rPr>
          <w:rFonts w:ascii="Times New Roman" w:hAnsi="Times New Roman" w:cs="Times New Roman"/>
          <w:color w:val="000000"/>
        </w:rPr>
        <w:t>, évaluations formatives</w:t>
      </w:r>
      <w:r w:rsidR="00863505">
        <w:rPr>
          <w:rFonts w:ascii="Times New Roman" w:hAnsi="Times New Roman" w:cs="Times New Roman"/>
          <w:color w:val="000000"/>
        </w:rPr>
        <w:t xml:space="preserve"> </w:t>
      </w:r>
      <w:r w:rsidR="006D0820">
        <w:rPr>
          <w:rFonts w:ascii="Times New Roman" w:hAnsi="Times New Roman" w:cs="Times New Roman"/>
          <w:color w:val="000000"/>
        </w:rPr>
        <w:t>suivi</w:t>
      </w:r>
      <w:r>
        <w:rPr>
          <w:rFonts w:ascii="Times New Roman" w:hAnsi="Times New Roman" w:cs="Times New Roman"/>
          <w:color w:val="000000"/>
        </w:rPr>
        <w:t>e</w:t>
      </w:r>
      <w:r w:rsidR="00863505">
        <w:rPr>
          <w:rFonts w:ascii="Times New Roman" w:hAnsi="Times New Roman" w:cs="Times New Roman"/>
          <w:color w:val="000000"/>
        </w:rPr>
        <w:t>s</w:t>
      </w:r>
      <w:r w:rsidR="006D0820">
        <w:rPr>
          <w:rFonts w:ascii="Times New Roman" w:hAnsi="Times New Roman" w:cs="Times New Roman"/>
          <w:color w:val="000000"/>
        </w:rPr>
        <w:t xml:space="preserve"> de mesures pour améliorer</w:t>
      </w:r>
      <w:r w:rsidR="00863505">
        <w:rPr>
          <w:rFonts w:ascii="Times New Roman" w:hAnsi="Times New Roman" w:cs="Times New Roman"/>
          <w:color w:val="000000"/>
        </w:rPr>
        <w:t xml:space="preserve"> les faiblesses identifié</w:t>
      </w:r>
      <w:r w:rsidR="001123AF">
        <w:rPr>
          <w:rFonts w:ascii="Times New Roman" w:hAnsi="Times New Roman" w:cs="Times New Roman"/>
          <w:color w:val="000000"/>
        </w:rPr>
        <w:t>e</w:t>
      </w:r>
      <w:r w:rsidR="00863505">
        <w:rPr>
          <w:rFonts w:ascii="Times New Roman" w:hAnsi="Times New Roman" w:cs="Times New Roman"/>
          <w:color w:val="000000"/>
        </w:rPr>
        <w:t>s</w:t>
      </w:r>
      <w:r w:rsidR="001123AF">
        <w:rPr>
          <w:rFonts w:ascii="Times New Roman" w:hAnsi="Times New Roman" w:cs="Times New Roman"/>
          <w:color w:val="000000"/>
        </w:rPr>
        <w:t>.</w:t>
      </w:r>
      <w:r w:rsidR="006D0820">
        <w:rPr>
          <w:rFonts w:ascii="Times New Roman" w:hAnsi="Times New Roman" w:cs="Times New Roman"/>
          <w:color w:val="000000"/>
        </w:rPr>
        <w:t xml:space="preserve">  </w:t>
      </w:r>
    </w:p>
    <w:p w14:paraId="3D3D5440" w14:textId="35266FD9" w:rsidR="00F97BF7" w:rsidRPr="00F97BF7" w:rsidRDefault="00F97BF7" w:rsidP="001D4648">
      <w:pPr>
        <w:rPr>
          <w:rFonts w:ascii="Times New Roman" w:hAnsi="Times New Roman" w:cs="Times New Roman"/>
          <w:b/>
          <w:bCs/>
          <w:i/>
          <w:iCs/>
          <w:color w:val="000000"/>
        </w:rPr>
      </w:pPr>
      <w:r w:rsidRPr="00F97BF7">
        <w:rPr>
          <w:rFonts w:ascii="Times New Roman" w:hAnsi="Times New Roman" w:cs="Times New Roman"/>
          <w:b/>
          <w:bCs/>
          <w:i/>
          <w:iCs/>
          <w:color w:val="000000"/>
        </w:rPr>
        <w:t xml:space="preserve">Dialogue sur </w:t>
      </w:r>
      <w:r w:rsidR="00277D37">
        <w:rPr>
          <w:rFonts w:ascii="Times New Roman" w:hAnsi="Times New Roman" w:cs="Times New Roman"/>
          <w:b/>
          <w:bCs/>
          <w:i/>
          <w:iCs/>
          <w:color w:val="000000"/>
        </w:rPr>
        <w:t>l</w:t>
      </w:r>
      <w:r w:rsidR="00570944">
        <w:rPr>
          <w:rFonts w:ascii="Times New Roman" w:hAnsi="Times New Roman" w:cs="Times New Roman"/>
          <w:b/>
          <w:bCs/>
          <w:i/>
          <w:iCs/>
          <w:color w:val="000000"/>
        </w:rPr>
        <w:t>’</w:t>
      </w:r>
      <w:r w:rsidR="00277D37">
        <w:rPr>
          <w:rFonts w:ascii="Times New Roman" w:hAnsi="Times New Roman" w:cs="Times New Roman"/>
          <w:b/>
          <w:bCs/>
          <w:i/>
          <w:iCs/>
          <w:color w:val="000000"/>
        </w:rPr>
        <w:t>IEC</w:t>
      </w:r>
      <w:r w:rsidR="00400FCC">
        <w:rPr>
          <w:rFonts w:ascii="Times New Roman" w:hAnsi="Times New Roman" w:cs="Times New Roman"/>
          <w:b/>
          <w:bCs/>
          <w:i/>
          <w:iCs/>
          <w:color w:val="000000"/>
        </w:rPr>
        <w:t xml:space="preserve"> </w:t>
      </w:r>
      <w:r w:rsidR="00272460">
        <w:rPr>
          <w:rFonts w:ascii="Times New Roman" w:hAnsi="Times New Roman" w:cs="Times New Roman"/>
          <w:b/>
          <w:bCs/>
          <w:i/>
          <w:iCs/>
          <w:color w:val="000000"/>
        </w:rPr>
        <w:t>et</w:t>
      </w:r>
      <w:r w:rsidRPr="00F97BF7">
        <w:rPr>
          <w:rFonts w:ascii="Times New Roman" w:hAnsi="Times New Roman" w:cs="Times New Roman"/>
          <w:b/>
          <w:bCs/>
          <w:i/>
          <w:iCs/>
          <w:color w:val="000000"/>
        </w:rPr>
        <w:t xml:space="preserve"> engagement communautaire </w:t>
      </w:r>
    </w:p>
    <w:p w14:paraId="50DAF2D7" w14:textId="65F33D06" w:rsidR="00277D37" w:rsidRPr="00402FB9" w:rsidRDefault="008B362B" w:rsidP="00277D37">
      <w:pPr>
        <w:pStyle w:val="ListParagraph"/>
        <w:numPr>
          <w:ilvl w:val="0"/>
          <w:numId w:val="12"/>
        </w:numPr>
        <w:jc w:val="both"/>
        <w:rPr>
          <w:rFonts w:ascii="Times New Roman" w:hAnsi="Times New Roman" w:cs="Times New Roman"/>
          <w:color w:val="000000"/>
        </w:rPr>
      </w:pPr>
      <w:r>
        <w:rPr>
          <w:rFonts w:ascii="Times New Roman" w:hAnsi="Times New Roman" w:cs="Times New Roman"/>
          <w:color w:val="000000"/>
        </w:rPr>
        <w:t>I</w:t>
      </w:r>
      <w:r w:rsidR="00277D37" w:rsidRPr="00402FB9">
        <w:rPr>
          <w:rFonts w:ascii="Times New Roman" w:hAnsi="Times New Roman" w:cs="Times New Roman"/>
          <w:color w:val="000000"/>
        </w:rPr>
        <w:t xml:space="preserve">mpliquer </w:t>
      </w:r>
      <w:r>
        <w:rPr>
          <w:rFonts w:ascii="Times New Roman" w:hAnsi="Times New Roman" w:cs="Times New Roman"/>
          <w:color w:val="000000"/>
        </w:rPr>
        <w:t>durablement</w:t>
      </w:r>
      <w:r w:rsidR="00277D37" w:rsidRPr="00402FB9">
        <w:rPr>
          <w:rFonts w:ascii="Times New Roman" w:hAnsi="Times New Roman" w:cs="Times New Roman"/>
          <w:color w:val="000000"/>
        </w:rPr>
        <w:t xml:space="preserve"> l</w:t>
      </w:r>
      <w:r w:rsidR="00570944">
        <w:rPr>
          <w:rFonts w:ascii="Times New Roman" w:hAnsi="Times New Roman" w:cs="Times New Roman"/>
          <w:color w:val="000000"/>
        </w:rPr>
        <w:t>’</w:t>
      </w:r>
      <w:r w:rsidR="00277D37" w:rsidRPr="00402FB9">
        <w:rPr>
          <w:rFonts w:ascii="Times New Roman" w:hAnsi="Times New Roman" w:cs="Times New Roman"/>
          <w:color w:val="000000"/>
        </w:rPr>
        <w:t>ensemble des parties prenantes concernées</w:t>
      </w:r>
      <w:r w:rsidR="00DB65B3">
        <w:rPr>
          <w:rFonts w:ascii="Times New Roman" w:hAnsi="Times New Roman" w:cs="Times New Roman"/>
          <w:color w:val="000000"/>
        </w:rPr>
        <w:t xml:space="preserve"> et les informer sur la nature et l’importance de l’IEC,</w:t>
      </w:r>
      <w:r w:rsidR="00277D37" w:rsidRPr="00402FB9">
        <w:rPr>
          <w:rFonts w:ascii="Times New Roman" w:hAnsi="Times New Roman" w:cs="Times New Roman"/>
          <w:color w:val="000000"/>
        </w:rPr>
        <w:t xml:space="preserve"> notamment les associations de parents d</w:t>
      </w:r>
      <w:r w:rsidR="00570944">
        <w:rPr>
          <w:rFonts w:ascii="Times New Roman" w:hAnsi="Times New Roman" w:cs="Times New Roman"/>
          <w:color w:val="000000"/>
        </w:rPr>
        <w:t>’</w:t>
      </w:r>
      <w:r w:rsidR="00277D37" w:rsidRPr="00402FB9">
        <w:rPr>
          <w:rFonts w:ascii="Times New Roman" w:hAnsi="Times New Roman" w:cs="Times New Roman"/>
          <w:color w:val="000000"/>
        </w:rPr>
        <w:t>élèves, les administrateurs des écoles</w:t>
      </w:r>
      <w:r w:rsidR="00277D37">
        <w:rPr>
          <w:rFonts w:ascii="Times New Roman" w:hAnsi="Times New Roman" w:cs="Times New Roman"/>
          <w:color w:val="000000"/>
        </w:rPr>
        <w:t>,</w:t>
      </w:r>
      <w:r w:rsidR="00277D37" w:rsidRPr="00402FB9">
        <w:rPr>
          <w:rFonts w:ascii="Times New Roman" w:hAnsi="Times New Roman" w:cs="Times New Roman"/>
          <w:color w:val="000000"/>
        </w:rPr>
        <w:t xml:space="preserve"> les dirigeants communautaires</w:t>
      </w:r>
      <w:r w:rsidR="00277D37">
        <w:rPr>
          <w:rFonts w:ascii="Times New Roman" w:hAnsi="Times New Roman" w:cs="Times New Roman"/>
          <w:color w:val="000000"/>
        </w:rPr>
        <w:t>, et les chefs religieux et traditionnels</w:t>
      </w:r>
      <w:r w:rsidR="00277D37" w:rsidRPr="00402FB9">
        <w:rPr>
          <w:rFonts w:ascii="Times New Roman" w:hAnsi="Times New Roman" w:cs="Times New Roman"/>
          <w:color w:val="000000"/>
        </w:rPr>
        <w:t xml:space="preserve"> </w:t>
      </w:r>
      <w:r w:rsidR="00277D37" w:rsidRPr="00402FB9">
        <w:rPr>
          <w:rFonts w:ascii="Times New Roman" w:hAnsi="Times New Roman" w:cs="Times New Roman"/>
        </w:rPr>
        <w:t>en vue d</w:t>
      </w:r>
      <w:r w:rsidR="00570944">
        <w:rPr>
          <w:rFonts w:ascii="Times New Roman" w:hAnsi="Times New Roman" w:cs="Times New Roman"/>
        </w:rPr>
        <w:t>’</w:t>
      </w:r>
      <w:r w:rsidR="00277D37" w:rsidRPr="00402FB9">
        <w:rPr>
          <w:rFonts w:ascii="Times New Roman" w:hAnsi="Times New Roman" w:cs="Times New Roman"/>
        </w:rPr>
        <w:t>une adhésion de tous les acteurs et bénéficiaires</w:t>
      </w:r>
      <w:r w:rsidR="00277D37">
        <w:rPr>
          <w:rFonts w:ascii="Times New Roman" w:hAnsi="Times New Roman" w:cs="Times New Roman"/>
          <w:color w:val="000000"/>
        </w:rPr>
        <w:t>.</w:t>
      </w:r>
    </w:p>
    <w:p w14:paraId="44B1405B" w14:textId="783B7284" w:rsidR="005F1731" w:rsidRPr="001D4648" w:rsidRDefault="00DB65B3" w:rsidP="001D4648">
      <w:pPr>
        <w:pStyle w:val="ListParagraph"/>
        <w:numPr>
          <w:ilvl w:val="0"/>
          <w:numId w:val="12"/>
        </w:numPr>
        <w:jc w:val="both"/>
        <w:rPr>
          <w:rFonts w:ascii="Times New Roman" w:hAnsi="Times New Roman" w:cs="Times New Roman"/>
          <w:color w:val="000000"/>
        </w:rPr>
      </w:pPr>
      <w:r>
        <w:rPr>
          <w:rFonts w:ascii="Times New Roman" w:hAnsi="Times New Roman" w:cs="Times New Roman"/>
          <w:color w:val="000000"/>
        </w:rPr>
        <w:t>Encourager le dialogue parents-enfants</w:t>
      </w:r>
      <w:r w:rsidR="00085541" w:rsidRPr="00402FB9">
        <w:rPr>
          <w:rFonts w:ascii="Times New Roman" w:hAnsi="Times New Roman" w:cs="Times New Roman"/>
          <w:color w:val="000000"/>
        </w:rPr>
        <w:t xml:space="preserve"> </w:t>
      </w:r>
      <w:r w:rsidR="00F20D89">
        <w:rPr>
          <w:rFonts w:ascii="Times New Roman" w:hAnsi="Times New Roman" w:cs="Times New Roman"/>
          <w:color w:val="000000"/>
        </w:rPr>
        <w:t xml:space="preserve">et intergénérationnel </w:t>
      </w:r>
      <w:r w:rsidR="00085541" w:rsidRPr="00402FB9">
        <w:rPr>
          <w:rFonts w:ascii="Times New Roman" w:hAnsi="Times New Roman" w:cs="Times New Roman"/>
          <w:color w:val="000000"/>
        </w:rPr>
        <w:t xml:space="preserve">sur la </w:t>
      </w:r>
      <w:r w:rsidR="000542BD">
        <w:rPr>
          <w:rFonts w:ascii="Times New Roman" w:hAnsi="Times New Roman" w:cs="Times New Roman"/>
          <w:color w:val="000000"/>
        </w:rPr>
        <w:t>SSR</w:t>
      </w:r>
      <w:r w:rsidR="00F20D89">
        <w:rPr>
          <w:rFonts w:ascii="Times New Roman" w:hAnsi="Times New Roman" w:cs="Times New Roman"/>
          <w:color w:val="000000"/>
        </w:rPr>
        <w:t xml:space="preserve"> et déconstruire</w:t>
      </w:r>
      <w:r w:rsidR="00D92AF9" w:rsidRPr="00402FB9">
        <w:rPr>
          <w:rFonts w:ascii="Times New Roman" w:hAnsi="Times New Roman" w:cs="Times New Roman"/>
          <w:color w:val="000000"/>
        </w:rPr>
        <w:t xml:space="preserve"> les tabous et les stéréotypes liés à la sexualité</w:t>
      </w:r>
      <w:r w:rsidR="00277D37">
        <w:rPr>
          <w:rFonts w:ascii="Times New Roman" w:hAnsi="Times New Roman" w:cs="Times New Roman"/>
          <w:color w:val="000000"/>
        </w:rPr>
        <w:t> ; t</w:t>
      </w:r>
      <w:r w:rsidR="00277D37" w:rsidRPr="001D4648">
        <w:rPr>
          <w:rFonts w:ascii="Times New Roman" w:hAnsi="Times New Roman" w:cs="Times New Roman"/>
          <w:color w:val="000000"/>
        </w:rPr>
        <w:t xml:space="preserve">irer parti des outils </w:t>
      </w:r>
      <w:r w:rsidR="005F1731" w:rsidRPr="001D4648">
        <w:rPr>
          <w:rFonts w:ascii="Times New Roman" w:hAnsi="Times New Roman" w:cs="Times New Roman"/>
          <w:color w:val="000000"/>
        </w:rPr>
        <w:t>d</w:t>
      </w:r>
      <w:r w:rsidR="00570944">
        <w:rPr>
          <w:rFonts w:ascii="Times New Roman" w:hAnsi="Times New Roman" w:cs="Times New Roman"/>
          <w:color w:val="000000"/>
        </w:rPr>
        <w:t>’</w:t>
      </w:r>
      <w:r w:rsidR="005F1731" w:rsidRPr="001D4648">
        <w:rPr>
          <w:rFonts w:ascii="Times New Roman" w:hAnsi="Times New Roman" w:cs="Times New Roman"/>
          <w:color w:val="000000"/>
        </w:rPr>
        <w:t xml:space="preserve">orientation du dialogue </w:t>
      </w:r>
      <w:r w:rsidR="00277D37" w:rsidRPr="001D4648">
        <w:rPr>
          <w:rFonts w:ascii="Times New Roman" w:hAnsi="Times New Roman" w:cs="Times New Roman"/>
          <w:color w:val="000000"/>
        </w:rPr>
        <w:t>parents-</w:t>
      </w:r>
      <w:r w:rsidR="005F1731" w:rsidRPr="001D4648">
        <w:rPr>
          <w:rFonts w:ascii="Times New Roman" w:hAnsi="Times New Roman" w:cs="Times New Roman"/>
          <w:color w:val="000000"/>
        </w:rPr>
        <w:t>enfants sur la sexualité</w:t>
      </w:r>
      <w:r w:rsidR="00277D37" w:rsidRPr="001D4648">
        <w:rPr>
          <w:rFonts w:ascii="Times New Roman" w:hAnsi="Times New Roman" w:cs="Times New Roman"/>
          <w:color w:val="000000"/>
        </w:rPr>
        <w:t>, et les renforcer au besoin</w:t>
      </w:r>
      <w:r w:rsidR="005F1731" w:rsidRPr="001D4648">
        <w:rPr>
          <w:rFonts w:ascii="Times New Roman" w:hAnsi="Times New Roman" w:cs="Times New Roman"/>
          <w:color w:val="000000"/>
        </w:rPr>
        <w:t>.</w:t>
      </w:r>
    </w:p>
    <w:p w14:paraId="372AB32C" w14:textId="2A69D97C" w:rsidR="00402FB9" w:rsidRPr="00402FB9" w:rsidRDefault="00402FB9">
      <w:pPr>
        <w:pStyle w:val="ListParagraph"/>
        <w:numPr>
          <w:ilvl w:val="0"/>
          <w:numId w:val="12"/>
        </w:numPr>
        <w:jc w:val="both"/>
        <w:rPr>
          <w:rFonts w:ascii="Times New Roman" w:hAnsi="Times New Roman" w:cs="Times New Roman"/>
          <w:color w:val="000000"/>
        </w:rPr>
      </w:pPr>
      <w:r>
        <w:rPr>
          <w:rFonts w:ascii="Times New Roman" w:hAnsi="Times New Roman" w:cs="Times New Roman"/>
          <w:color w:val="000000"/>
        </w:rPr>
        <w:t>T</w:t>
      </w:r>
      <w:r w:rsidRPr="00402FB9">
        <w:rPr>
          <w:rFonts w:ascii="Times New Roman" w:hAnsi="Times New Roman" w:cs="Times New Roman"/>
          <w:color w:val="000000"/>
        </w:rPr>
        <w:t xml:space="preserve">irer profit des outils technologiques pour amplifier </w:t>
      </w:r>
      <w:r w:rsidR="00277D37">
        <w:rPr>
          <w:rFonts w:ascii="Times New Roman" w:hAnsi="Times New Roman" w:cs="Times New Roman"/>
          <w:color w:val="000000"/>
        </w:rPr>
        <w:t>l</w:t>
      </w:r>
      <w:r w:rsidR="00277D37" w:rsidRPr="00402FB9">
        <w:rPr>
          <w:rFonts w:ascii="Times New Roman" w:hAnsi="Times New Roman" w:cs="Times New Roman"/>
          <w:color w:val="000000"/>
        </w:rPr>
        <w:t xml:space="preserve">es </w:t>
      </w:r>
      <w:r w:rsidRPr="00402FB9">
        <w:rPr>
          <w:rFonts w:ascii="Times New Roman" w:hAnsi="Times New Roman" w:cs="Times New Roman"/>
          <w:color w:val="000000"/>
        </w:rPr>
        <w:t xml:space="preserve">campagnes </w:t>
      </w:r>
      <w:r>
        <w:rPr>
          <w:rFonts w:ascii="Times New Roman" w:hAnsi="Times New Roman" w:cs="Times New Roman"/>
          <w:color w:val="000000"/>
        </w:rPr>
        <w:t xml:space="preserve">de </w:t>
      </w:r>
      <w:r w:rsidR="00992C05">
        <w:rPr>
          <w:rFonts w:ascii="Times New Roman" w:hAnsi="Times New Roman" w:cs="Times New Roman"/>
          <w:color w:val="000000"/>
        </w:rPr>
        <w:t>d’information.</w:t>
      </w:r>
      <w:r>
        <w:rPr>
          <w:rFonts w:ascii="Times New Roman" w:hAnsi="Times New Roman" w:cs="Times New Roman"/>
          <w:color w:val="000000"/>
        </w:rPr>
        <w:t xml:space="preserve"> </w:t>
      </w:r>
    </w:p>
    <w:p w14:paraId="2B67A276" w14:textId="2B2DB104" w:rsidR="00277D37" w:rsidRPr="00525883" w:rsidRDefault="00DE7ACF" w:rsidP="001D4648">
      <w:pPr>
        <w:pStyle w:val="ListParagraph"/>
        <w:numPr>
          <w:ilvl w:val="0"/>
          <w:numId w:val="12"/>
        </w:numPr>
        <w:jc w:val="both"/>
      </w:pPr>
      <w:r>
        <w:rPr>
          <w:rFonts w:ascii="Times New Roman" w:hAnsi="Times New Roman" w:cs="Times New Roman"/>
          <w:color w:val="000000"/>
        </w:rPr>
        <w:t>Développer</w:t>
      </w:r>
      <w:r w:rsidR="00277D37" w:rsidRPr="001D4648">
        <w:rPr>
          <w:rFonts w:ascii="Times New Roman" w:hAnsi="Times New Roman" w:cs="Times New Roman"/>
          <w:color w:val="000000"/>
        </w:rPr>
        <w:t xml:space="preserve"> la présence d</w:t>
      </w:r>
      <w:r w:rsidR="00570944">
        <w:rPr>
          <w:rFonts w:ascii="Times New Roman" w:hAnsi="Times New Roman" w:cs="Times New Roman"/>
          <w:color w:val="000000"/>
        </w:rPr>
        <w:t>’</w:t>
      </w:r>
      <w:r w:rsidR="00402FB9" w:rsidRPr="001D4648">
        <w:rPr>
          <w:rFonts w:ascii="Times New Roman" w:hAnsi="Times New Roman" w:cs="Times New Roman"/>
          <w:color w:val="000000"/>
        </w:rPr>
        <w:t>espaces conviviaux</w:t>
      </w:r>
      <w:r w:rsidR="00074136" w:rsidRPr="001D4648">
        <w:rPr>
          <w:rFonts w:ascii="Times New Roman" w:hAnsi="Times New Roman" w:cs="Times New Roman"/>
          <w:color w:val="000000"/>
        </w:rPr>
        <w:t xml:space="preserve"> </w:t>
      </w:r>
      <w:r w:rsidR="00D12B67">
        <w:rPr>
          <w:rFonts w:ascii="Times New Roman" w:hAnsi="Times New Roman" w:cs="Times New Roman"/>
          <w:color w:val="000000"/>
        </w:rPr>
        <w:t xml:space="preserve">d’échanges </w:t>
      </w:r>
      <w:r w:rsidR="00277D37" w:rsidRPr="001D4648">
        <w:rPr>
          <w:rFonts w:ascii="Times New Roman" w:hAnsi="Times New Roman" w:cs="Times New Roman"/>
          <w:color w:val="000000"/>
        </w:rPr>
        <w:t>pour les élèves</w:t>
      </w:r>
      <w:r w:rsidR="00402FB9" w:rsidRPr="001D4648">
        <w:rPr>
          <w:rFonts w:ascii="Times New Roman" w:hAnsi="Times New Roman" w:cs="Times New Roman"/>
          <w:color w:val="000000"/>
        </w:rPr>
        <w:t xml:space="preserve"> </w:t>
      </w:r>
      <w:r w:rsidR="00277D37" w:rsidRPr="001D4648">
        <w:rPr>
          <w:rFonts w:ascii="Times New Roman" w:hAnsi="Times New Roman" w:cs="Times New Roman"/>
          <w:color w:val="000000"/>
        </w:rPr>
        <w:t>en milieu scolaire</w:t>
      </w:r>
      <w:r w:rsidR="00402FB9" w:rsidRPr="001D4648">
        <w:rPr>
          <w:rFonts w:ascii="Times New Roman" w:hAnsi="Times New Roman" w:cs="Times New Roman"/>
          <w:color w:val="000000"/>
        </w:rPr>
        <w:t xml:space="preserve"> </w:t>
      </w:r>
      <w:r w:rsidR="00277D37" w:rsidRPr="001D4648">
        <w:rPr>
          <w:rFonts w:ascii="Times New Roman" w:hAnsi="Times New Roman" w:cs="Times New Roman"/>
          <w:color w:val="000000"/>
        </w:rPr>
        <w:t>et</w:t>
      </w:r>
      <w:r w:rsidR="00525883" w:rsidRPr="001D4648">
        <w:rPr>
          <w:rFonts w:ascii="Times New Roman" w:hAnsi="Times New Roman" w:cs="Times New Roman"/>
          <w:color w:val="000000"/>
        </w:rPr>
        <w:t xml:space="preserve"> r</w:t>
      </w:r>
      <w:r w:rsidR="00085541" w:rsidRPr="001D4648">
        <w:rPr>
          <w:rFonts w:ascii="Times New Roman" w:hAnsi="Times New Roman" w:cs="Times New Roman"/>
          <w:color w:val="000000"/>
        </w:rPr>
        <w:t xml:space="preserve">enforcer les capacités des organes de gestion participative des enfants et des jeunes </w:t>
      </w:r>
      <w:r w:rsidR="00277D37" w:rsidRPr="001D4648">
        <w:rPr>
          <w:rFonts w:ascii="Times New Roman" w:hAnsi="Times New Roman" w:cs="Times New Roman"/>
          <w:color w:val="000000"/>
        </w:rPr>
        <w:t xml:space="preserve">afin de favoriser leur participation. </w:t>
      </w:r>
    </w:p>
    <w:p w14:paraId="68C021F7" w14:textId="77777777" w:rsidR="00983973" w:rsidRPr="00983973" w:rsidRDefault="00983973" w:rsidP="001D4648">
      <w:pPr>
        <w:pStyle w:val="ListParagraph"/>
      </w:pPr>
    </w:p>
    <w:p w14:paraId="7B79FA07" w14:textId="2DA4FE5A" w:rsidR="00ED3ECD" w:rsidRPr="00CF320F" w:rsidRDefault="00085541">
      <w:pPr>
        <w:pStyle w:val="Heading2"/>
        <w:jc w:val="both"/>
        <w:rPr>
          <w:rFonts w:ascii="Times New Roman" w:hAnsi="Times New Roman" w:cs="Times New Roman"/>
        </w:rPr>
      </w:pPr>
      <w:r w:rsidRPr="003C164C">
        <w:rPr>
          <w:rFonts w:ascii="Times New Roman" w:hAnsi="Times New Roman" w:cs="Times New Roman"/>
        </w:rPr>
        <w:t>Services de santé sexuelle et reproductive</w:t>
      </w:r>
      <w:r w:rsidR="000542BD">
        <w:rPr>
          <w:rFonts w:ascii="Times New Roman" w:hAnsi="Times New Roman" w:cs="Times New Roman"/>
        </w:rPr>
        <w:t xml:space="preserve"> (SSR)</w:t>
      </w:r>
    </w:p>
    <w:p w14:paraId="0C3C3457" w14:textId="4BF8DF7E" w:rsidR="00ED3ECD" w:rsidRDefault="00513067">
      <w:pPr>
        <w:jc w:val="both"/>
        <w:rPr>
          <w:rFonts w:ascii="Times New Roman" w:hAnsi="Times New Roman" w:cs="Times New Roman"/>
          <w:b/>
          <w:bCs/>
          <w:i/>
          <w:iCs/>
          <w:color w:val="000000"/>
        </w:rPr>
      </w:pPr>
      <w:r w:rsidRPr="009A729C">
        <w:rPr>
          <w:rFonts w:ascii="Times New Roman" w:hAnsi="Times New Roman" w:cs="Times New Roman"/>
          <w:b/>
          <w:bCs/>
          <w:i/>
          <w:iCs/>
          <w:color w:val="000000"/>
        </w:rPr>
        <w:t xml:space="preserve">Articuler </w:t>
      </w:r>
      <w:r w:rsidR="006A17D9">
        <w:rPr>
          <w:rFonts w:ascii="Times New Roman" w:hAnsi="Times New Roman" w:cs="Times New Roman"/>
          <w:b/>
          <w:bCs/>
          <w:i/>
          <w:iCs/>
          <w:color w:val="000000"/>
        </w:rPr>
        <w:t>éducation et santé</w:t>
      </w:r>
    </w:p>
    <w:p w14:paraId="00A87EC4" w14:textId="2B892DD6" w:rsidR="006A17D9" w:rsidRDefault="009F7336">
      <w:pPr>
        <w:pStyle w:val="ListParagraph"/>
        <w:numPr>
          <w:ilvl w:val="0"/>
          <w:numId w:val="11"/>
        </w:numPr>
        <w:jc w:val="both"/>
        <w:rPr>
          <w:rFonts w:ascii="Times New Roman" w:hAnsi="Times New Roman" w:cs="Times New Roman"/>
          <w:color w:val="000000"/>
        </w:rPr>
      </w:pPr>
      <w:r w:rsidRPr="006A17D9">
        <w:rPr>
          <w:rFonts w:ascii="Times New Roman" w:hAnsi="Times New Roman" w:cs="Times New Roman"/>
          <w:color w:val="000000"/>
        </w:rPr>
        <w:t xml:space="preserve">Renforcer la collaboration entre les secteurs de </w:t>
      </w:r>
      <w:r w:rsidR="007E5225">
        <w:rPr>
          <w:rFonts w:ascii="Times New Roman" w:hAnsi="Times New Roman" w:cs="Times New Roman"/>
          <w:color w:val="000000"/>
        </w:rPr>
        <w:t>l</w:t>
      </w:r>
      <w:r w:rsidR="00570944">
        <w:rPr>
          <w:rFonts w:ascii="Times New Roman" w:hAnsi="Times New Roman" w:cs="Times New Roman"/>
          <w:color w:val="000000"/>
        </w:rPr>
        <w:t>’</w:t>
      </w:r>
      <w:r w:rsidR="007E5225">
        <w:rPr>
          <w:rFonts w:ascii="Times New Roman" w:hAnsi="Times New Roman" w:cs="Times New Roman"/>
          <w:color w:val="000000"/>
        </w:rPr>
        <w:t>éducation</w:t>
      </w:r>
      <w:r w:rsidRPr="006A17D9">
        <w:rPr>
          <w:rFonts w:ascii="Times New Roman" w:hAnsi="Times New Roman" w:cs="Times New Roman"/>
          <w:color w:val="000000"/>
        </w:rPr>
        <w:t xml:space="preserve"> et de la santé à tous les niveaux</w:t>
      </w:r>
      <w:r w:rsidR="00F65F1B">
        <w:rPr>
          <w:rFonts w:ascii="Times New Roman" w:hAnsi="Times New Roman" w:cs="Times New Roman"/>
          <w:color w:val="000000"/>
        </w:rPr>
        <w:t>, et en particulier en améliorant</w:t>
      </w:r>
      <w:r w:rsidR="00F65F1B" w:rsidRPr="00F65F1B">
        <w:rPr>
          <w:rFonts w:ascii="Times New Roman" w:hAnsi="Times New Roman" w:cs="Times New Roman"/>
          <w:color w:val="000000"/>
        </w:rPr>
        <w:t xml:space="preserve"> la qualité et la couverture des services de santé scolaire.</w:t>
      </w:r>
    </w:p>
    <w:p w14:paraId="7D618E15" w14:textId="30C4EA44" w:rsidR="0018681A" w:rsidRPr="001D4648" w:rsidRDefault="00DE7ACF" w:rsidP="006B4F74">
      <w:pPr>
        <w:pStyle w:val="ListParagraph"/>
        <w:numPr>
          <w:ilvl w:val="0"/>
          <w:numId w:val="11"/>
        </w:numPr>
        <w:spacing w:after="120"/>
        <w:jc w:val="both"/>
        <w:rPr>
          <w:rFonts w:ascii="Times New Roman" w:hAnsi="Times New Roman" w:cs="Times New Roman"/>
          <w:iCs/>
        </w:rPr>
      </w:pPr>
      <w:r>
        <w:rPr>
          <w:rFonts w:ascii="Times New Roman" w:hAnsi="Times New Roman" w:cs="Times New Roman"/>
          <w:color w:val="000000"/>
        </w:rPr>
        <w:t>R</w:t>
      </w:r>
      <w:r w:rsidRPr="001D4648">
        <w:rPr>
          <w:rFonts w:ascii="Times New Roman" w:hAnsi="Times New Roman" w:cs="Times New Roman"/>
          <w:color w:val="000000"/>
        </w:rPr>
        <w:t xml:space="preserve">enforcer la disponibilité </w:t>
      </w:r>
      <w:r w:rsidR="00DC1788" w:rsidRPr="001D4648">
        <w:rPr>
          <w:rFonts w:ascii="Times New Roman" w:hAnsi="Times New Roman" w:cs="Times New Roman"/>
          <w:color w:val="000000"/>
        </w:rPr>
        <w:t xml:space="preserve">des services </w:t>
      </w:r>
      <w:r w:rsidR="00C35CF8" w:rsidRPr="001D4648">
        <w:rPr>
          <w:rFonts w:ascii="Times New Roman" w:hAnsi="Times New Roman"/>
          <w:color w:val="000000"/>
        </w:rPr>
        <w:t xml:space="preserve">de </w:t>
      </w:r>
      <w:r w:rsidR="00DC1788" w:rsidRPr="001D4648">
        <w:rPr>
          <w:rFonts w:ascii="Times New Roman" w:hAnsi="Times New Roman" w:cs="Times New Roman"/>
          <w:color w:val="000000"/>
        </w:rPr>
        <w:t xml:space="preserve">santé </w:t>
      </w:r>
      <w:r w:rsidR="00C35CF8" w:rsidRPr="001D4648">
        <w:rPr>
          <w:rFonts w:ascii="Times New Roman" w:hAnsi="Times New Roman"/>
          <w:color w:val="000000"/>
        </w:rPr>
        <w:t xml:space="preserve">adaptés aux </w:t>
      </w:r>
      <w:r w:rsidR="00DC1788" w:rsidRPr="001D4648">
        <w:rPr>
          <w:rFonts w:ascii="Times New Roman" w:hAnsi="Times New Roman" w:cs="Times New Roman"/>
          <w:color w:val="000000"/>
        </w:rPr>
        <w:t xml:space="preserve">adolescents dans les </w:t>
      </w:r>
      <w:r w:rsidR="00D5010A" w:rsidRPr="001D4648">
        <w:rPr>
          <w:rFonts w:ascii="Times New Roman" w:hAnsi="Times New Roman" w:cs="Times New Roman"/>
          <w:color w:val="000000"/>
        </w:rPr>
        <w:t>écoles</w:t>
      </w:r>
      <w:r w:rsidR="00DC1788" w:rsidRPr="001D4648">
        <w:rPr>
          <w:rFonts w:ascii="Times New Roman" w:hAnsi="Times New Roman" w:cs="Times New Roman"/>
          <w:color w:val="000000"/>
        </w:rPr>
        <w:t xml:space="preserve">, </w:t>
      </w:r>
      <w:r>
        <w:rPr>
          <w:rFonts w:ascii="Times New Roman" w:hAnsi="Times New Roman" w:cs="Times New Roman"/>
          <w:color w:val="000000"/>
        </w:rPr>
        <w:t xml:space="preserve">les </w:t>
      </w:r>
      <w:r w:rsidR="00D5010A" w:rsidRPr="001D4648">
        <w:rPr>
          <w:rFonts w:ascii="Times New Roman" w:hAnsi="Times New Roman" w:cs="Times New Roman"/>
          <w:color w:val="000000"/>
        </w:rPr>
        <w:t xml:space="preserve">institutions </w:t>
      </w:r>
      <w:r w:rsidR="00DC1788" w:rsidRPr="001D4648">
        <w:rPr>
          <w:rFonts w:ascii="Times New Roman" w:hAnsi="Times New Roman" w:cs="Times New Roman"/>
          <w:color w:val="000000"/>
        </w:rPr>
        <w:t xml:space="preserve">extrascolaires et </w:t>
      </w:r>
      <w:r>
        <w:rPr>
          <w:rFonts w:ascii="Times New Roman" w:hAnsi="Times New Roman" w:cs="Times New Roman"/>
          <w:color w:val="000000"/>
        </w:rPr>
        <w:t xml:space="preserve">les </w:t>
      </w:r>
      <w:r w:rsidR="00DC1788" w:rsidRPr="001D4648">
        <w:rPr>
          <w:rFonts w:ascii="Times New Roman" w:hAnsi="Times New Roman" w:cs="Times New Roman"/>
          <w:color w:val="000000"/>
        </w:rPr>
        <w:t>structures communautaires</w:t>
      </w:r>
      <w:r w:rsidR="00D5010A" w:rsidRPr="001D4648">
        <w:rPr>
          <w:rFonts w:ascii="Times New Roman" w:hAnsi="Times New Roman" w:cs="Times New Roman"/>
          <w:color w:val="000000"/>
        </w:rPr>
        <w:t>,</w:t>
      </w:r>
      <w:r w:rsidR="00DC1788" w:rsidRPr="001D4648">
        <w:rPr>
          <w:rFonts w:ascii="Times New Roman" w:hAnsi="Times New Roman" w:cs="Times New Roman"/>
          <w:color w:val="000000"/>
        </w:rPr>
        <w:t xml:space="preserve"> </w:t>
      </w:r>
      <w:r w:rsidR="005278DF" w:rsidRPr="001D4648">
        <w:rPr>
          <w:rFonts w:ascii="Times New Roman" w:hAnsi="Times New Roman" w:cs="Times New Roman"/>
          <w:color w:val="000000"/>
        </w:rPr>
        <w:t>et</w:t>
      </w:r>
      <w:r w:rsidR="00DC1788" w:rsidRPr="001D4648">
        <w:rPr>
          <w:rFonts w:ascii="Times New Roman" w:hAnsi="Times New Roman" w:cs="Times New Roman"/>
          <w:color w:val="000000"/>
        </w:rPr>
        <w:t xml:space="preserve"> les équiper de manière adéquate ; </w:t>
      </w:r>
      <w:r>
        <w:rPr>
          <w:rFonts w:ascii="Times New Roman" w:hAnsi="Times New Roman" w:cs="Times New Roman"/>
          <w:color w:val="000000"/>
        </w:rPr>
        <w:t xml:space="preserve">mieux </w:t>
      </w:r>
      <w:r w:rsidR="007D7187" w:rsidRPr="001D4648">
        <w:rPr>
          <w:rFonts w:ascii="Times New Roman" w:hAnsi="Times New Roman" w:cs="Times New Roman"/>
          <w:color w:val="000000"/>
        </w:rPr>
        <w:t xml:space="preserve">orienter </w:t>
      </w:r>
      <w:r w:rsidR="007D7187" w:rsidRPr="001D4648">
        <w:rPr>
          <w:rFonts w:ascii="Times New Roman" w:hAnsi="Times New Roman" w:cs="Times New Roman"/>
          <w:iCs/>
        </w:rPr>
        <w:t>les adolescents</w:t>
      </w:r>
      <w:r w:rsidR="007D7187" w:rsidRPr="001D4648">
        <w:rPr>
          <w:rFonts w:ascii="Times New Roman" w:hAnsi="Times New Roman" w:cs="Times New Roman"/>
        </w:rPr>
        <w:t xml:space="preserve"> vers les services de santé adaptés à leur âge et</w:t>
      </w:r>
      <w:r w:rsidR="00D94E97" w:rsidRPr="001D4648">
        <w:rPr>
          <w:rFonts w:ascii="Times New Roman" w:hAnsi="Times New Roman" w:cs="Times New Roman"/>
        </w:rPr>
        <w:t xml:space="preserve"> à</w:t>
      </w:r>
      <w:r w:rsidR="007D7187" w:rsidRPr="001D4648">
        <w:rPr>
          <w:rFonts w:ascii="Times New Roman" w:hAnsi="Times New Roman" w:cs="Times New Roman"/>
        </w:rPr>
        <w:t xml:space="preserve"> leurs besoins.</w:t>
      </w:r>
    </w:p>
    <w:p w14:paraId="046DC403" w14:textId="13E060E6" w:rsidR="00BD55E5" w:rsidRPr="008B362B" w:rsidRDefault="003F1604" w:rsidP="006B4F74">
      <w:pPr>
        <w:pStyle w:val="ListParagraph"/>
        <w:numPr>
          <w:ilvl w:val="0"/>
          <w:numId w:val="11"/>
        </w:numPr>
        <w:spacing w:after="120"/>
        <w:jc w:val="both"/>
        <w:rPr>
          <w:rFonts w:ascii="Times New Roman" w:hAnsi="Times New Roman" w:cs="Times New Roman"/>
          <w:iCs/>
        </w:rPr>
      </w:pPr>
      <w:r w:rsidRPr="003F1604">
        <w:rPr>
          <w:rFonts w:ascii="Times New Roman" w:hAnsi="Times New Roman" w:cs="Times New Roman"/>
          <w:color w:val="000000"/>
        </w:rPr>
        <w:t>Promouvoir, par le biais de l</w:t>
      </w:r>
      <w:r w:rsidR="00570944">
        <w:rPr>
          <w:rFonts w:ascii="Times New Roman" w:hAnsi="Times New Roman" w:cs="Times New Roman"/>
          <w:color w:val="000000"/>
        </w:rPr>
        <w:t>’</w:t>
      </w:r>
      <w:r w:rsidRPr="003F1604">
        <w:rPr>
          <w:rFonts w:ascii="Times New Roman" w:hAnsi="Times New Roman" w:cs="Times New Roman"/>
          <w:color w:val="000000"/>
        </w:rPr>
        <w:t>éducation,</w:t>
      </w:r>
      <w:r w:rsidR="00BB0A4F" w:rsidRPr="003F1604">
        <w:rPr>
          <w:rFonts w:ascii="Times New Roman" w:hAnsi="Times New Roman" w:cs="Times New Roman"/>
          <w:color w:val="000000"/>
        </w:rPr>
        <w:t xml:space="preserve"> l</w:t>
      </w:r>
      <w:r w:rsidR="00570944">
        <w:rPr>
          <w:rFonts w:ascii="Times New Roman" w:hAnsi="Times New Roman" w:cs="Times New Roman"/>
          <w:color w:val="000000"/>
        </w:rPr>
        <w:t>’</w:t>
      </w:r>
      <w:r w:rsidR="00BB0A4F" w:rsidRPr="003F1604">
        <w:rPr>
          <w:rFonts w:ascii="Times New Roman" w:hAnsi="Times New Roman" w:cs="Times New Roman"/>
          <w:color w:val="000000"/>
        </w:rPr>
        <w:t>importance et l</w:t>
      </w:r>
      <w:r w:rsidR="00570944">
        <w:rPr>
          <w:rFonts w:ascii="Times New Roman" w:hAnsi="Times New Roman" w:cs="Times New Roman"/>
          <w:color w:val="000000"/>
        </w:rPr>
        <w:t>’</w:t>
      </w:r>
      <w:r w:rsidR="00BB0A4F" w:rsidRPr="003F1604">
        <w:rPr>
          <w:rFonts w:ascii="Times New Roman" w:hAnsi="Times New Roman" w:cs="Times New Roman"/>
          <w:color w:val="000000"/>
        </w:rPr>
        <w:t xml:space="preserve">utilité de services de santé </w:t>
      </w:r>
      <w:r w:rsidRPr="003F1604">
        <w:rPr>
          <w:rFonts w:ascii="Times New Roman" w:hAnsi="Times New Roman" w:cs="Times New Roman"/>
          <w:color w:val="000000"/>
        </w:rPr>
        <w:t>auprès des je</w:t>
      </w:r>
      <w:r w:rsidR="00421384">
        <w:rPr>
          <w:rFonts w:ascii="Times New Roman" w:hAnsi="Times New Roman" w:cs="Times New Roman"/>
          <w:color w:val="000000"/>
        </w:rPr>
        <w:t>unes scolarisés et déscolarisés.</w:t>
      </w:r>
    </w:p>
    <w:p w14:paraId="14440A7F" w14:textId="0EBCF6AA" w:rsidR="008B362B" w:rsidRPr="003F1604" w:rsidRDefault="00747546" w:rsidP="006B4F74">
      <w:pPr>
        <w:pStyle w:val="ListParagraph"/>
        <w:numPr>
          <w:ilvl w:val="0"/>
          <w:numId w:val="11"/>
        </w:numPr>
        <w:spacing w:after="120"/>
        <w:jc w:val="both"/>
        <w:rPr>
          <w:rFonts w:ascii="Times New Roman" w:hAnsi="Times New Roman" w:cs="Times New Roman"/>
          <w:iCs/>
        </w:rPr>
      </w:pPr>
      <w:r>
        <w:rPr>
          <w:rFonts w:ascii="Times New Roman" w:hAnsi="Times New Roman" w:cs="Times New Roman"/>
        </w:rPr>
        <w:t xml:space="preserve">Assurer le recueil et le traitement périodique de données de qualité et désagrégée, par des systèmes robustes de suivi-évaluation, afin de mieux orienter la prise de décision. </w:t>
      </w:r>
    </w:p>
    <w:p w14:paraId="73D50354" w14:textId="394E8D5B" w:rsidR="009A729C" w:rsidRDefault="009A729C" w:rsidP="006B4F74">
      <w:pPr>
        <w:jc w:val="both"/>
        <w:rPr>
          <w:rFonts w:ascii="Times New Roman" w:hAnsi="Times New Roman" w:cs="Times New Roman"/>
          <w:b/>
          <w:bCs/>
          <w:i/>
          <w:iCs/>
          <w:color w:val="000000"/>
        </w:rPr>
      </w:pPr>
      <w:r>
        <w:rPr>
          <w:rFonts w:ascii="Times New Roman" w:hAnsi="Times New Roman" w:cs="Times New Roman"/>
          <w:b/>
          <w:bCs/>
          <w:i/>
          <w:iCs/>
          <w:color w:val="000000"/>
        </w:rPr>
        <w:t xml:space="preserve">Adapter les services de </w:t>
      </w:r>
      <w:r w:rsidR="000542BD">
        <w:rPr>
          <w:rFonts w:ascii="Times New Roman" w:hAnsi="Times New Roman" w:cs="Times New Roman"/>
          <w:b/>
          <w:bCs/>
          <w:i/>
          <w:iCs/>
          <w:color w:val="000000"/>
        </w:rPr>
        <w:t>SSR</w:t>
      </w:r>
      <w:r>
        <w:rPr>
          <w:rFonts w:ascii="Times New Roman" w:hAnsi="Times New Roman" w:cs="Times New Roman"/>
          <w:b/>
          <w:bCs/>
          <w:i/>
          <w:iCs/>
          <w:color w:val="000000"/>
        </w:rPr>
        <w:t xml:space="preserve"> aux besoins des adolescents et des jeunes</w:t>
      </w:r>
    </w:p>
    <w:p w14:paraId="1A9C09A7" w14:textId="44F635B8" w:rsidR="00DE7ACF" w:rsidRPr="001D4648" w:rsidRDefault="00F6105A" w:rsidP="006B4F74">
      <w:pPr>
        <w:pStyle w:val="ListParagraph"/>
        <w:numPr>
          <w:ilvl w:val="0"/>
          <w:numId w:val="11"/>
        </w:numPr>
        <w:jc w:val="both"/>
        <w:rPr>
          <w:rFonts w:ascii="Times New Roman" w:hAnsi="Times New Roman" w:cs="Times New Roman"/>
          <w:iCs/>
        </w:rPr>
      </w:pPr>
      <w:r w:rsidRPr="00F6105A">
        <w:rPr>
          <w:rFonts w:ascii="Times New Roman" w:hAnsi="Times New Roman" w:cs="Times New Roman"/>
          <w:color w:val="000000"/>
        </w:rPr>
        <w:t xml:space="preserve">Mener </w:t>
      </w:r>
      <w:r>
        <w:rPr>
          <w:rFonts w:ascii="Times New Roman" w:hAnsi="Times New Roman" w:cs="Times New Roman"/>
          <w:color w:val="000000"/>
        </w:rPr>
        <w:t>des</w:t>
      </w:r>
      <w:r w:rsidRPr="00F6105A">
        <w:rPr>
          <w:rFonts w:ascii="Times New Roman" w:hAnsi="Times New Roman" w:cs="Times New Roman"/>
          <w:color w:val="000000"/>
        </w:rPr>
        <w:t xml:space="preserve"> évaluation</w:t>
      </w:r>
      <w:r>
        <w:rPr>
          <w:rFonts w:ascii="Times New Roman" w:hAnsi="Times New Roman" w:cs="Times New Roman"/>
          <w:color w:val="000000"/>
        </w:rPr>
        <w:t>s régulières sur l</w:t>
      </w:r>
      <w:r w:rsidRPr="00F6105A">
        <w:rPr>
          <w:rFonts w:ascii="Times New Roman" w:hAnsi="Times New Roman" w:cs="Times New Roman"/>
          <w:color w:val="000000"/>
        </w:rPr>
        <w:t xml:space="preserve">es besoins réels des jeunes en matière de </w:t>
      </w:r>
      <w:r w:rsidR="000542BD">
        <w:rPr>
          <w:rFonts w:ascii="Times New Roman" w:hAnsi="Times New Roman" w:cs="Times New Roman"/>
          <w:color w:val="000000"/>
        </w:rPr>
        <w:t>SSR</w:t>
      </w:r>
      <w:r w:rsidRPr="00F6105A">
        <w:rPr>
          <w:rFonts w:ascii="Times New Roman" w:hAnsi="Times New Roman" w:cs="Times New Roman"/>
          <w:color w:val="000000"/>
        </w:rPr>
        <w:t xml:space="preserve"> </w:t>
      </w:r>
      <w:r>
        <w:rPr>
          <w:rFonts w:ascii="Times New Roman" w:hAnsi="Times New Roman" w:cs="Times New Roman"/>
          <w:color w:val="000000"/>
        </w:rPr>
        <w:t>afin d</w:t>
      </w:r>
      <w:r w:rsidR="00570944">
        <w:rPr>
          <w:rFonts w:ascii="Times New Roman" w:hAnsi="Times New Roman" w:cs="Times New Roman"/>
          <w:color w:val="000000"/>
        </w:rPr>
        <w:t>’</w:t>
      </w:r>
      <w:r w:rsidRPr="00F6105A">
        <w:rPr>
          <w:rFonts w:ascii="Times New Roman" w:hAnsi="Times New Roman" w:cs="Times New Roman"/>
          <w:color w:val="000000"/>
        </w:rPr>
        <w:t>y répondre de façon efficace</w:t>
      </w:r>
      <w:r w:rsidR="00DE7ACF">
        <w:rPr>
          <w:rFonts w:ascii="Times New Roman" w:hAnsi="Times New Roman" w:cs="Times New Roman"/>
          <w:color w:val="000000"/>
        </w:rPr>
        <w:t>, et é</w:t>
      </w:r>
      <w:r w:rsidR="00DD40DE" w:rsidRPr="001D4648">
        <w:rPr>
          <w:rFonts w:ascii="Times New Roman" w:hAnsi="Times New Roman" w:cs="Times New Roman"/>
          <w:iCs/>
        </w:rPr>
        <w:t xml:space="preserve">largir la couverture sanitaire des services de soins adaptés aux adolescents et </w:t>
      </w:r>
      <w:r w:rsidR="00DE7ACF">
        <w:rPr>
          <w:rFonts w:ascii="Times New Roman" w:hAnsi="Times New Roman" w:cs="Times New Roman"/>
          <w:iCs/>
        </w:rPr>
        <w:t>jeunes, tout en renforçant</w:t>
      </w:r>
      <w:r w:rsidR="00DE7ACF" w:rsidRPr="001D4648">
        <w:rPr>
          <w:rFonts w:ascii="Times New Roman" w:hAnsi="Times New Roman" w:cs="Times New Roman"/>
          <w:iCs/>
        </w:rPr>
        <w:t xml:space="preserve"> la protection des personnes atteintes du VIH et des personnes vulnérables</w:t>
      </w:r>
      <w:r w:rsidR="00C51B37">
        <w:rPr>
          <w:rFonts w:ascii="Times New Roman" w:hAnsi="Times New Roman" w:cs="Times New Roman"/>
          <w:iCs/>
        </w:rPr>
        <w:t>, y compris les personnes vivant avec un handicap</w:t>
      </w:r>
      <w:r w:rsidR="00DE7ACF" w:rsidRPr="001D4648">
        <w:rPr>
          <w:rFonts w:ascii="Times New Roman" w:hAnsi="Times New Roman" w:cs="Times New Roman"/>
          <w:iCs/>
        </w:rPr>
        <w:t>.</w:t>
      </w:r>
    </w:p>
    <w:p w14:paraId="69909C0F" w14:textId="028C4643" w:rsidR="00966630" w:rsidRDefault="00966630" w:rsidP="006B4F74">
      <w:pPr>
        <w:pStyle w:val="ListParagraph"/>
        <w:numPr>
          <w:ilvl w:val="0"/>
          <w:numId w:val="11"/>
        </w:numPr>
        <w:spacing w:after="120"/>
        <w:jc w:val="both"/>
        <w:rPr>
          <w:rFonts w:ascii="Times New Roman" w:hAnsi="Times New Roman" w:cs="Times New Roman"/>
          <w:color w:val="000000"/>
        </w:rPr>
      </w:pPr>
      <w:r w:rsidRPr="0085401E">
        <w:rPr>
          <w:rFonts w:ascii="Times New Roman" w:hAnsi="Times New Roman" w:cs="Times New Roman"/>
          <w:iCs/>
        </w:rPr>
        <w:t xml:space="preserve">Intensifier la communication sociale et comportementale </w:t>
      </w:r>
      <w:r>
        <w:rPr>
          <w:rFonts w:ascii="Times New Roman" w:hAnsi="Times New Roman" w:cs="Times New Roman"/>
          <w:iCs/>
        </w:rPr>
        <w:t>à destination des</w:t>
      </w:r>
      <w:r w:rsidRPr="0085401E">
        <w:rPr>
          <w:rFonts w:ascii="Times New Roman" w:hAnsi="Times New Roman" w:cs="Times New Roman"/>
          <w:iCs/>
        </w:rPr>
        <w:t xml:space="preserve"> adolescents et </w:t>
      </w:r>
      <w:r>
        <w:rPr>
          <w:rFonts w:ascii="Times New Roman" w:hAnsi="Times New Roman" w:cs="Times New Roman"/>
          <w:iCs/>
        </w:rPr>
        <w:t>d</w:t>
      </w:r>
      <w:r w:rsidRPr="0085401E">
        <w:rPr>
          <w:rFonts w:ascii="Times New Roman" w:hAnsi="Times New Roman" w:cs="Times New Roman"/>
          <w:iCs/>
        </w:rPr>
        <w:t>es jeunes pour promouvoir des comportements positifs et protecteurs</w:t>
      </w:r>
      <w:r>
        <w:rPr>
          <w:rFonts w:ascii="Times New Roman" w:hAnsi="Times New Roman" w:cs="Times New Roman"/>
          <w:iCs/>
        </w:rPr>
        <w:t> ; s</w:t>
      </w:r>
      <w:r w:rsidR="00570944">
        <w:rPr>
          <w:rFonts w:ascii="Times New Roman" w:hAnsi="Times New Roman" w:cs="Times New Roman"/>
          <w:iCs/>
        </w:rPr>
        <w:t>’</w:t>
      </w:r>
      <w:r>
        <w:rPr>
          <w:rFonts w:ascii="Times New Roman" w:hAnsi="Times New Roman" w:cs="Times New Roman"/>
          <w:iCs/>
        </w:rPr>
        <w:t xml:space="preserve">assurer que les </w:t>
      </w:r>
      <w:r w:rsidRPr="00957254">
        <w:rPr>
          <w:rFonts w:ascii="Times New Roman" w:hAnsi="Times New Roman" w:cs="Times New Roman"/>
          <w:iCs/>
        </w:rPr>
        <w:t xml:space="preserve">adolescents et des jeunes </w:t>
      </w:r>
      <w:r>
        <w:rPr>
          <w:rFonts w:ascii="Times New Roman" w:hAnsi="Times New Roman" w:cs="Times New Roman"/>
          <w:iCs/>
        </w:rPr>
        <w:t>puissent accéder</w:t>
      </w:r>
      <w:r w:rsidR="000542BD">
        <w:rPr>
          <w:rFonts w:ascii="Times New Roman" w:hAnsi="Times New Roman" w:cs="Times New Roman"/>
          <w:iCs/>
        </w:rPr>
        <w:t>,</w:t>
      </w:r>
      <w:r w:rsidR="000542BD" w:rsidRPr="00957254">
        <w:rPr>
          <w:rFonts w:ascii="Times New Roman" w:hAnsi="Times New Roman" w:cs="Times New Roman"/>
          <w:iCs/>
        </w:rPr>
        <w:t xml:space="preserve"> à tout moment</w:t>
      </w:r>
      <w:r w:rsidR="000542BD">
        <w:rPr>
          <w:rFonts w:ascii="Times New Roman" w:hAnsi="Times New Roman" w:cs="Times New Roman"/>
          <w:iCs/>
        </w:rPr>
        <w:t>,</w:t>
      </w:r>
      <w:r>
        <w:rPr>
          <w:rFonts w:ascii="Times New Roman" w:hAnsi="Times New Roman" w:cs="Times New Roman"/>
          <w:iCs/>
        </w:rPr>
        <w:t xml:space="preserve"> à </w:t>
      </w:r>
      <w:r w:rsidRPr="00957254">
        <w:rPr>
          <w:rFonts w:ascii="Times New Roman" w:hAnsi="Times New Roman" w:cs="Times New Roman"/>
          <w:iCs/>
        </w:rPr>
        <w:t>des informations</w:t>
      </w:r>
      <w:r>
        <w:rPr>
          <w:rFonts w:ascii="Times New Roman" w:hAnsi="Times New Roman" w:cs="Times New Roman"/>
          <w:iCs/>
        </w:rPr>
        <w:t xml:space="preserve"> fiables</w:t>
      </w:r>
      <w:r w:rsidRPr="00957254">
        <w:rPr>
          <w:rFonts w:ascii="Times New Roman" w:hAnsi="Times New Roman" w:cs="Times New Roman"/>
          <w:iCs/>
        </w:rPr>
        <w:t xml:space="preserve"> sur la </w:t>
      </w:r>
      <w:r>
        <w:rPr>
          <w:rFonts w:ascii="Times New Roman" w:hAnsi="Times New Roman" w:cs="Times New Roman"/>
          <w:iCs/>
        </w:rPr>
        <w:t>santé et les droits sexuels et reproductifs</w:t>
      </w:r>
      <w:r w:rsidR="000542BD">
        <w:rPr>
          <w:rFonts w:ascii="Times New Roman" w:hAnsi="Times New Roman" w:cs="Times New Roman"/>
          <w:iCs/>
        </w:rPr>
        <w:t xml:space="preserve"> (SDSR)</w:t>
      </w:r>
      <w:r>
        <w:rPr>
          <w:rFonts w:ascii="Times New Roman" w:hAnsi="Times New Roman" w:cs="Times New Roman"/>
          <w:iCs/>
        </w:rPr>
        <w:t>, et sur les services disponibles</w:t>
      </w:r>
      <w:r w:rsidR="000542BD">
        <w:rPr>
          <w:rFonts w:ascii="Times New Roman" w:hAnsi="Times New Roman" w:cs="Times New Roman"/>
          <w:iCs/>
        </w:rPr>
        <w:t xml:space="preserve">, </w:t>
      </w:r>
      <w:r>
        <w:rPr>
          <w:rFonts w:ascii="Times New Roman" w:hAnsi="Times New Roman" w:cs="Times New Roman"/>
          <w:iCs/>
        </w:rPr>
        <w:t>en particulier en tirant profit d</w:t>
      </w:r>
      <w:r w:rsidRPr="00957254">
        <w:rPr>
          <w:rFonts w:ascii="Times New Roman" w:hAnsi="Times New Roman" w:cs="Times New Roman"/>
          <w:iCs/>
        </w:rPr>
        <w:t xml:space="preserve">es </w:t>
      </w:r>
      <w:r>
        <w:rPr>
          <w:rFonts w:ascii="Times New Roman" w:hAnsi="Times New Roman" w:cs="Times New Roman"/>
          <w:iCs/>
        </w:rPr>
        <w:t>outils</w:t>
      </w:r>
      <w:r w:rsidRPr="00957254">
        <w:rPr>
          <w:rFonts w:ascii="Times New Roman" w:hAnsi="Times New Roman" w:cs="Times New Roman"/>
          <w:iCs/>
        </w:rPr>
        <w:t xml:space="preserve"> numériques</w:t>
      </w:r>
      <w:r>
        <w:rPr>
          <w:rFonts w:ascii="Times New Roman" w:hAnsi="Times New Roman" w:cs="Times New Roman"/>
          <w:iCs/>
        </w:rPr>
        <w:t>,</w:t>
      </w:r>
      <w:r w:rsidRPr="00957254">
        <w:rPr>
          <w:rFonts w:ascii="Times New Roman" w:hAnsi="Times New Roman" w:cs="Times New Roman"/>
          <w:color w:val="000000"/>
        </w:rPr>
        <w:t xml:space="preserve"> tout en </w:t>
      </w:r>
      <w:r>
        <w:rPr>
          <w:rFonts w:ascii="Times New Roman" w:hAnsi="Times New Roman" w:cs="Times New Roman"/>
          <w:color w:val="000000"/>
        </w:rPr>
        <w:t>veillant à respecter</w:t>
      </w:r>
      <w:r w:rsidRPr="00957254">
        <w:rPr>
          <w:rFonts w:ascii="Times New Roman" w:hAnsi="Times New Roman" w:cs="Times New Roman"/>
          <w:color w:val="000000"/>
        </w:rPr>
        <w:t xml:space="preserve"> la confidentialité des informations </w:t>
      </w:r>
      <w:r>
        <w:rPr>
          <w:rFonts w:ascii="Times New Roman" w:hAnsi="Times New Roman" w:cs="Times New Roman"/>
          <w:color w:val="000000"/>
        </w:rPr>
        <w:t>fournies par les adolescents et les jeunes</w:t>
      </w:r>
      <w:r w:rsidRPr="00957254">
        <w:rPr>
          <w:rFonts w:ascii="Times New Roman" w:hAnsi="Times New Roman" w:cs="Times New Roman"/>
          <w:color w:val="000000"/>
        </w:rPr>
        <w:t xml:space="preserve">. </w:t>
      </w:r>
    </w:p>
    <w:p w14:paraId="6A78A7BD" w14:textId="593A28C8" w:rsidR="00DD40DE" w:rsidRDefault="00DE7ACF" w:rsidP="006B4F74">
      <w:pPr>
        <w:pStyle w:val="ListParagraph"/>
        <w:numPr>
          <w:ilvl w:val="0"/>
          <w:numId w:val="11"/>
        </w:numPr>
        <w:spacing w:after="0"/>
        <w:jc w:val="both"/>
        <w:rPr>
          <w:rFonts w:ascii="Times New Roman" w:hAnsi="Times New Roman" w:cs="Times New Roman"/>
          <w:iCs/>
        </w:rPr>
      </w:pPr>
      <w:r>
        <w:rPr>
          <w:rFonts w:ascii="Times New Roman" w:hAnsi="Times New Roman" w:cs="Times New Roman"/>
          <w:iCs/>
        </w:rPr>
        <w:t>I</w:t>
      </w:r>
      <w:r w:rsidR="00DD40DE" w:rsidRPr="00F65F1B">
        <w:rPr>
          <w:rFonts w:ascii="Times New Roman" w:hAnsi="Times New Roman" w:cs="Times New Roman"/>
          <w:iCs/>
        </w:rPr>
        <w:t>nstaurer</w:t>
      </w:r>
      <w:r w:rsidR="00505B3C">
        <w:rPr>
          <w:rFonts w:ascii="Times New Roman" w:hAnsi="Times New Roman" w:cs="Times New Roman"/>
          <w:iCs/>
        </w:rPr>
        <w:t>, le cas échéant,</w:t>
      </w:r>
      <w:r w:rsidR="00DD40DE" w:rsidRPr="00F65F1B">
        <w:rPr>
          <w:rFonts w:ascii="Times New Roman" w:hAnsi="Times New Roman" w:cs="Times New Roman"/>
          <w:iCs/>
        </w:rPr>
        <w:t xml:space="preserve"> une politique d</w:t>
      </w:r>
      <w:r w:rsidR="00570944">
        <w:rPr>
          <w:rFonts w:ascii="Times New Roman" w:hAnsi="Times New Roman" w:cs="Times New Roman"/>
          <w:iCs/>
        </w:rPr>
        <w:t>’</w:t>
      </w:r>
      <w:r w:rsidR="00DD40DE" w:rsidRPr="00F65F1B">
        <w:rPr>
          <w:rFonts w:ascii="Times New Roman" w:hAnsi="Times New Roman" w:cs="Times New Roman"/>
          <w:iCs/>
        </w:rPr>
        <w:t>abaissement de l</w:t>
      </w:r>
      <w:r w:rsidR="00570944">
        <w:rPr>
          <w:rFonts w:ascii="Times New Roman" w:hAnsi="Times New Roman" w:cs="Times New Roman"/>
          <w:iCs/>
        </w:rPr>
        <w:t>’</w:t>
      </w:r>
      <w:r w:rsidR="00DD40DE" w:rsidRPr="00F65F1B">
        <w:rPr>
          <w:rFonts w:ascii="Times New Roman" w:hAnsi="Times New Roman" w:cs="Times New Roman"/>
          <w:iCs/>
        </w:rPr>
        <w:t xml:space="preserve">âge du consentement aux services de </w:t>
      </w:r>
      <w:r w:rsidR="00DD40DE">
        <w:rPr>
          <w:rFonts w:ascii="Times New Roman" w:hAnsi="Times New Roman" w:cs="Times New Roman"/>
          <w:iCs/>
        </w:rPr>
        <w:t>SSR</w:t>
      </w:r>
      <w:r w:rsidR="00DD40DE" w:rsidRPr="00F65F1B">
        <w:rPr>
          <w:rFonts w:ascii="Times New Roman" w:hAnsi="Times New Roman" w:cs="Times New Roman"/>
          <w:iCs/>
        </w:rPr>
        <w:t xml:space="preserve"> non chirurgicaux</w:t>
      </w:r>
      <w:r w:rsidR="00DD40DE">
        <w:rPr>
          <w:rFonts w:ascii="Times New Roman" w:hAnsi="Times New Roman" w:cs="Times New Roman"/>
          <w:iCs/>
        </w:rPr>
        <w:t xml:space="preserve"> </w:t>
      </w:r>
      <w:r w:rsidR="00DD40DE" w:rsidRPr="00F65F1B">
        <w:rPr>
          <w:rFonts w:ascii="Times New Roman" w:hAnsi="Times New Roman" w:cs="Times New Roman"/>
          <w:iCs/>
        </w:rPr>
        <w:t>afin de faciliter l</w:t>
      </w:r>
      <w:r w:rsidR="00570944">
        <w:rPr>
          <w:rFonts w:ascii="Times New Roman" w:hAnsi="Times New Roman" w:cs="Times New Roman"/>
          <w:iCs/>
        </w:rPr>
        <w:t>’</w:t>
      </w:r>
      <w:r w:rsidR="00DD40DE" w:rsidRPr="00F65F1B">
        <w:rPr>
          <w:rFonts w:ascii="Times New Roman" w:hAnsi="Times New Roman" w:cs="Times New Roman"/>
          <w:iCs/>
        </w:rPr>
        <w:t>accès des jeunes aux services pertinent</w:t>
      </w:r>
      <w:r w:rsidR="00421384">
        <w:rPr>
          <w:rFonts w:ascii="Times New Roman" w:hAnsi="Times New Roman" w:cs="Times New Roman"/>
          <w:iCs/>
        </w:rPr>
        <w:t>s.</w:t>
      </w:r>
    </w:p>
    <w:p w14:paraId="680F677C" w14:textId="0CA9A96B" w:rsidR="005D6937" w:rsidRPr="003C164C" w:rsidRDefault="005D6937" w:rsidP="006B4F74">
      <w:pPr>
        <w:pStyle w:val="Default"/>
        <w:numPr>
          <w:ilvl w:val="0"/>
          <w:numId w:val="11"/>
        </w:numPr>
        <w:jc w:val="both"/>
        <w:rPr>
          <w:rFonts w:ascii="Times New Roman" w:hAnsi="Times New Roman" w:cs="Times New Roman"/>
          <w:sz w:val="22"/>
          <w:szCs w:val="22"/>
        </w:rPr>
      </w:pPr>
      <w:r w:rsidRPr="00983973">
        <w:rPr>
          <w:rFonts w:ascii="Times New Roman" w:hAnsi="Times New Roman"/>
          <w:sz w:val="22"/>
        </w:rPr>
        <w:lastRenderedPageBreak/>
        <w:t>Développer une politique de non-divulgation des informations par les prestataires de services</w:t>
      </w:r>
      <w:r w:rsidR="00421384">
        <w:rPr>
          <w:rFonts w:ascii="Times New Roman" w:hAnsi="Times New Roman" w:cs="Times New Roman"/>
        </w:rPr>
        <w:t>.</w:t>
      </w:r>
    </w:p>
    <w:p w14:paraId="1BAAB524" w14:textId="46B086DE" w:rsidR="00134124" w:rsidRPr="00282DDD" w:rsidRDefault="00085541" w:rsidP="006B4F74">
      <w:pPr>
        <w:pStyle w:val="ListParagraph"/>
        <w:numPr>
          <w:ilvl w:val="0"/>
          <w:numId w:val="11"/>
        </w:numPr>
        <w:spacing w:after="120"/>
        <w:jc w:val="both"/>
        <w:rPr>
          <w:rFonts w:ascii="Times New Roman" w:hAnsi="Times New Roman" w:cs="Times New Roman"/>
          <w:iCs/>
        </w:rPr>
      </w:pPr>
      <w:r w:rsidRPr="00134124">
        <w:rPr>
          <w:rFonts w:ascii="Times New Roman" w:hAnsi="Times New Roman" w:cs="Times New Roman"/>
          <w:color w:val="000000"/>
        </w:rPr>
        <w:t>Accro</w:t>
      </w:r>
      <w:r w:rsidR="00F6105A" w:rsidRPr="00134124">
        <w:rPr>
          <w:rFonts w:ascii="Times New Roman" w:hAnsi="Times New Roman" w:cs="Times New Roman"/>
          <w:color w:val="000000"/>
        </w:rPr>
        <w:t>î</w:t>
      </w:r>
      <w:r w:rsidRPr="00134124">
        <w:rPr>
          <w:rFonts w:ascii="Times New Roman" w:hAnsi="Times New Roman" w:cs="Times New Roman"/>
          <w:color w:val="000000"/>
        </w:rPr>
        <w:t>tre l</w:t>
      </w:r>
      <w:r w:rsidR="00570944">
        <w:rPr>
          <w:rFonts w:ascii="Times New Roman" w:hAnsi="Times New Roman" w:cs="Times New Roman"/>
          <w:color w:val="000000"/>
        </w:rPr>
        <w:t>’</w:t>
      </w:r>
      <w:r w:rsidRPr="00134124">
        <w:rPr>
          <w:rFonts w:ascii="Times New Roman" w:hAnsi="Times New Roman" w:cs="Times New Roman"/>
          <w:color w:val="000000"/>
        </w:rPr>
        <w:t xml:space="preserve">accès aux services et espaces conviviaux des jeunes (augmenter le nombre des centres </w:t>
      </w:r>
      <w:r w:rsidRPr="006B4F74">
        <w:rPr>
          <w:rFonts w:ascii="Times New Roman" w:hAnsi="Times New Roman" w:cs="Times New Roman"/>
          <w:color w:val="000000"/>
        </w:rPr>
        <w:t xml:space="preserve">de santé </w:t>
      </w:r>
      <w:r w:rsidR="00974998" w:rsidRPr="006B4F74">
        <w:rPr>
          <w:rFonts w:ascii="Times New Roman" w:hAnsi="Times New Roman" w:cs="Times New Roman"/>
          <w:color w:val="000000"/>
        </w:rPr>
        <w:t>adaptés aux</w:t>
      </w:r>
      <w:r w:rsidRPr="006B4F74">
        <w:rPr>
          <w:rFonts w:ascii="Times New Roman" w:hAnsi="Times New Roman" w:cs="Times New Roman"/>
          <w:color w:val="000000"/>
        </w:rPr>
        <w:t xml:space="preserve"> jeunes, les espaces conviviaux et la qualité des services offerts)</w:t>
      </w:r>
      <w:r w:rsidR="00134124" w:rsidRPr="006B4F74">
        <w:rPr>
          <w:rFonts w:ascii="Times New Roman" w:hAnsi="Times New Roman" w:cs="Times New Roman"/>
          <w:iCs/>
        </w:rPr>
        <w:t xml:space="preserve"> ; mettre en œuvre le paquet minimum </w:t>
      </w:r>
      <w:r w:rsidR="00134124" w:rsidRPr="006B4F74">
        <w:rPr>
          <w:rFonts w:ascii="Times New Roman" w:hAnsi="Times New Roman"/>
          <w:iCs/>
        </w:rPr>
        <w:t>d</w:t>
      </w:r>
      <w:r w:rsidR="00570944">
        <w:rPr>
          <w:rFonts w:ascii="Times New Roman" w:hAnsi="Times New Roman"/>
          <w:iCs/>
        </w:rPr>
        <w:t>’</w:t>
      </w:r>
      <w:r w:rsidR="008240F3" w:rsidRPr="006B4F74">
        <w:rPr>
          <w:rFonts w:ascii="Times New Roman" w:hAnsi="Times New Roman"/>
          <w:iCs/>
        </w:rPr>
        <w:t xml:space="preserve">activités </w:t>
      </w:r>
      <w:r w:rsidR="00134124" w:rsidRPr="006B4F74">
        <w:rPr>
          <w:rFonts w:ascii="Times New Roman" w:hAnsi="Times New Roman" w:cs="Times New Roman"/>
          <w:iCs/>
        </w:rPr>
        <w:t>pour les jeunes</w:t>
      </w:r>
      <w:r w:rsidR="00D3188F" w:rsidRPr="006B4F74">
        <w:rPr>
          <w:rFonts w:ascii="Times New Roman" w:hAnsi="Times New Roman" w:cs="Times New Roman"/>
          <w:iCs/>
        </w:rPr>
        <w:t xml:space="preserve"> ; </w:t>
      </w:r>
      <w:r w:rsidR="00134124" w:rsidRPr="006B4F74">
        <w:rPr>
          <w:rFonts w:ascii="Times New Roman" w:hAnsi="Times New Roman" w:cs="Times New Roman"/>
          <w:iCs/>
        </w:rPr>
        <w:t>d</w:t>
      </w:r>
      <w:r w:rsidR="00F65F1B" w:rsidRPr="006B4F74">
        <w:rPr>
          <w:rFonts w:ascii="Times New Roman" w:hAnsi="Times New Roman" w:cs="Times New Roman"/>
          <w:color w:val="000000"/>
        </w:rPr>
        <w:t xml:space="preserve">évelopper une politique de gratuité ciblée </w:t>
      </w:r>
      <w:r w:rsidR="00282DDD">
        <w:rPr>
          <w:rFonts w:ascii="Times New Roman" w:hAnsi="Times New Roman" w:cs="Times New Roman"/>
          <w:color w:val="000000"/>
        </w:rPr>
        <w:t xml:space="preserve">ou de de </w:t>
      </w:r>
      <w:r w:rsidR="00282DDD" w:rsidRPr="006B4F74">
        <w:rPr>
          <w:rFonts w:ascii="Times New Roman" w:hAnsi="Times New Roman" w:cs="Times New Roman"/>
          <w:color w:val="000000"/>
        </w:rPr>
        <w:t xml:space="preserve">tarification préférentielle </w:t>
      </w:r>
      <w:r w:rsidR="00F65F1B" w:rsidRPr="006B4F74">
        <w:rPr>
          <w:rFonts w:ascii="Times New Roman" w:hAnsi="Times New Roman" w:cs="Times New Roman"/>
          <w:color w:val="000000"/>
        </w:rPr>
        <w:t>de certains services</w:t>
      </w:r>
      <w:r w:rsidR="00D3188F" w:rsidRPr="006B4F74">
        <w:rPr>
          <w:rFonts w:ascii="Times New Roman" w:hAnsi="Times New Roman" w:cs="Times New Roman"/>
          <w:color w:val="000000"/>
        </w:rPr>
        <w:t xml:space="preserve"> </w:t>
      </w:r>
      <w:r w:rsidR="005C6C8C" w:rsidRPr="006B4F74">
        <w:rPr>
          <w:rFonts w:ascii="Times New Roman" w:hAnsi="Times New Roman" w:cs="Times New Roman"/>
          <w:color w:val="000000"/>
        </w:rPr>
        <w:t>(prise en charge des IST pour les adolescents et les jeunes</w:t>
      </w:r>
      <w:r w:rsidR="00282DDD">
        <w:rPr>
          <w:rFonts w:ascii="Times New Roman" w:hAnsi="Times New Roman" w:cs="Times New Roman"/>
          <w:color w:val="000000"/>
        </w:rPr>
        <w:t>)</w:t>
      </w:r>
      <w:r w:rsidR="00D3188F">
        <w:rPr>
          <w:rFonts w:ascii="Times New Roman" w:hAnsi="Times New Roman" w:cs="Times New Roman"/>
          <w:color w:val="000000"/>
        </w:rPr>
        <w:t>.</w:t>
      </w:r>
    </w:p>
    <w:p w14:paraId="1F9F559D" w14:textId="4E62FD7E" w:rsidR="00282DDD" w:rsidRPr="00134124" w:rsidRDefault="00282DDD" w:rsidP="006B4F74">
      <w:pPr>
        <w:pStyle w:val="ListParagraph"/>
        <w:numPr>
          <w:ilvl w:val="0"/>
          <w:numId w:val="11"/>
        </w:numPr>
        <w:spacing w:after="120"/>
        <w:jc w:val="both"/>
        <w:rPr>
          <w:rFonts w:ascii="Times New Roman" w:hAnsi="Times New Roman" w:cs="Times New Roman"/>
          <w:iCs/>
        </w:rPr>
      </w:pPr>
      <w:r>
        <w:rPr>
          <w:rFonts w:ascii="Times New Roman" w:hAnsi="Times New Roman" w:cs="Times New Roman"/>
          <w:iCs/>
        </w:rPr>
        <w:t xml:space="preserve">Favoriser l’égalité entre les hommes et les femmes dans la prise de décision concernant leurs propres soins de santé. </w:t>
      </w:r>
    </w:p>
    <w:p w14:paraId="793164CC" w14:textId="117D9378" w:rsidR="00E94CF3" w:rsidRPr="00282DDD" w:rsidRDefault="00E94CF3" w:rsidP="0002533F">
      <w:pPr>
        <w:pStyle w:val="ListParagraph"/>
        <w:numPr>
          <w:ilvl w:val="0"/>
          <w:numId w:val="11"/>
        </w:numPr>
        <w:spacing w:after="120"/>
        <w:jc w:val="both"/>
        <w:rPr>
          <w:rFonts w:ascii="Times New Roman" w:hAnsi="Times New Roman" w:cs="Times New Roman"/>
          <w:color w:val="000000"/>
        </w:rPr>
      </w:pPr>
      <w:r w:rsidRPr="00282DDD">
        <w:rPr>
          <w:rFonts w:ascii="Times New Roman" w:hAnsi="Times New Roman" w:cs="Times New Roman"/>
          <w:iCs/>
        </w:rPr>
        <w:t>Promouvoir la SSR de la jeune fille</w:t>
      </w:r>
      <w:r w:rsidR="00984E13" w:rsidRPr="00282DDD">
        <w:rPr>
          <w:rFonts w:ascii="Times New Roman" w:hAnsi="Times New Roman" w:cs="Times New Roman"/>
          <w:iCs/>
        </w:rPr>
        <w:t xml:space="preserve">, </w:t>
      </w:r>
      <w:r w:rsidR="00D76A20" w:rsidRPr="00282DDD">
        <w:rPr>
          <w:rFonts w:ascii="Times New Roman" w:hAnsi="Times New Roman" w:cs="Times New Roman"/>
          <w:color w:val="000000"/>
        </w:rPr>
        <w:t xml:space="preserve">en facilitant l’accès aux méthodes contraceptives modernes, en </w:t>
      </w:r>
      <w:r w:rsidR="00282DDD" w:rsidRPr="00282DDD">
        <w:rPr>
          <w:rFonts w:ascii="Times New Roman" w:hAnsi="Times New Roman" w:cs="Times New Roman"/>
          <w:color w:val="000000"/>
        </w:rPr>
        <w:t xml:space="preserve">promouvant </w:t>
      </w:r>
      <w:r w:rsidR="00877D2B" w:rsidRPr="00282DDD">
        <w:rPr>
          <w:rFonts w:ascii="Times New Roman" w:hAnsi="Times New Roman" w:cs="Times New Roman"/>
          <w:iCs/>
        </w:rPr>
        <w:t>l</w:t>
      </w:r>
      <w:r w:rsidR="00570944" w:rsidRPr="00282DDD">
        <w:rPr>
          <w:rFonts w:ascii="Times New Roman" w:hAnsi="Times New Roman" w:cs="Times New Roman"/>
          <w:iCs/>
        </w:rPr>
        <w:t>’</w:t>
      </w:r>
      <w:r w:rsidR="00877D2B" w:rsidRPr="00282DDD">
        <w:rPr>
          <w:rFonts w:ascii="Times New Roman" w:hAnsi="Times New Roman" w:cs="Times New Roman"/>
          <w:iCs/>
        </w:rPr>
        <w:t>hygiène menstruelle</w:t>
      </w:r>
      <w:r w:rsidR="00984E13" w:rsidRPr="00282DDD">
        <w:rPr>
          <w:rFonts w:ascii="Times New Roman" w:hAnsi="Times New Roman" w:cs="Times New Roman"/>
          <w:iCs/>
        </w:rPr>
        <w:t xml:space="preserve"> </w:t>
      </w:r>
      <w:r w:rsidR="00282DDD">
        <w:rPr>
          <w:rFonts w:ascii="Times New Roman" w:hAnsi="Times New Roman" w:cs="Times New Roman"/>
          <w:iCs/>
        </w:rPr>
        <w:t>et</w:t>
      </w:r>
      <w:r w:rsidR="00877D2B" w:rsidRPr="00282DDD">
        <w:rPr>
          <w:rFonts w:ascii="Times New Roman" w:hAnsi="Times New Roman" w:cs="Times New Roman"/>
          <w:color w:val="000000"/>
        </w:rPr>
        <w:t xml:space="preserve"> l</w:t>
      </w:r>
      <w:r w:rsidR="00570944" w:rsidRPr="00282DDD">
        <w:rPr>
          <w:rFonts w:ascii="Times New Roman" w:hAnsi="Times New Roman" w:cs="Times New Roman"/>
          <w:color w:val="000000"/>
        </w:rPr>
        <w:t>’</w:t>
      </w:r>
      <w:r w:rsidR="00877D2B" w:rsidRPr="00282DDD">
        <w:rPr>
          <w:rFonts w:ascii="Times New Roman" w:hAnsi="Times New Roman" w:cs="Times New Roman"/>
          <w:color w:val="000000"/>
        </w:rPr>
        <w:t xml:space="preserve">accès des adolescentes aux protections périodiques ; </w:t>
      </w:r>
      <w:r w:rsidRPr="00282DDD">
        <w:rPr>
          <w:rFonts w:ascii="Times New Roman" w:hAnsi="Times New Roman" w:cs="Times New Roman"/>
        </w:rPr>
        <w:t>rendre disponible le vaccin contre le</w:t>
      </w:r>
      <w:r w:rsidRPr="00282DDD">
        <w:rPr>
          <w:rFonts w:ascii="Times New Roman" w:hAnsi="Times New Roman"/>
        </w:rPr>
        <w:t xml:space="preserve"> </w:t>
      </w:r>
      <w:r w:rsidR="00326A02" w:rsidRPr="00282DDD">
        <w:rPr>
          <w:rFonts w:ascii="Times New Roman" w:hAnsi="Times New Roman" w:cs="Times New Roman"/>
        </w:rPr>
        <w:t xml:space="preserve">papillomavirus </w:t>
      </w:r>
      <w:r w:rsidR="00326A02" w:rsidRPr="00282DDD">
        <w:rPr>
          <w:rFonts w:ascii="Times New Roman" w:hAnsi="Times New Roman" w:cs="Times New Roman"/>
          <w:color w:val="000000"/>
        </w:rPr>
        <w:t xml:space="preserve">humain </w:t>
      </w:r>
      <w:r w:rsidR="00877D2B" w:rsidRPr="00282DDD">
        <w:rPr>
          <w:rFonts w:ascii="Times New Roman" w:hAnsi="Times New Roman" w:cs="Times New Roman"/>
          <w:color w:val="000000"/>
        </w:rPr>
        <w:t>pour</w:t>
      </w:r>
      <w:r w:rsidRPr="00282DDD">
        <w:rPr>
          <w:rFonts w:ascii="Times New Roman" w:hAnsi="Times New Roman" w:cs="Times New Roman"/>
          <w:color w:val="000000"/>
        </w:rPr>
        <w:t xml:space="preserve"> prévenir le cancer du col de l</w:t>
      </w:r>
      <w:r w:rsidR="00570944" w:rsidRPr="00282DDD">
        <w:rPr>
          <w:rFonts w:ascii="Times New Roman" w:hAnsi="Times New Roman" w:cs="Times New Roman"/>
          <w:color w:val="000000"/>
        </w:rPr>
        <w:t>’</w:t>
      </w:r>
      <w:r w:rsidRPr="00282DDD">
        <w:rPr>
          <w:rFonts w:ascii="Times New Roman" w:hAnsi="Times New Roman" w:cs="Times New Roman"/>
          <w:color w:val="000000"/>
        </w:rPr>
        <w:t>utérus</w:t>
      </w:r>
      <w:r w:rsidR="00984E13" w:rsidRPr="00282DDD">
        <w:rPr>
          <w:rFonts w:ascii="Times New Roman" w:hAnsi="Times New Roman" w:cs="Times New Roman"/>
          <w:color w:val="000000"/>
        </w:rPr>
        <w:t>.</w:t>
      </w:r>
    </w:p>
    <w:p w14:paraId="0E2904E2" w14:textId="55E73FD6" w:rsidR="00984E13" w:rsidRPr="00BA4495" w:rsidRDefault="00134124" w:rsidP="006B4F74">
      <w:pPr>
        <w:pStyle w:val="ListParagraph"/>
        <w:numPr>
          <w:ilvl w:val="0"/>
          <w:numId w:val="11"/>
        </w:numPr>
        <w:spacing w:after="120"/>
        <w:jc w:val="both"/>
        <w:rPr>
          <w:rFonts w:ascii="Times New Roman" w:hAnsi="Times New Roman" w:cs="Times New Roman"/>
          <w:color w:val="000000"/>
        </w:rPr>
      </w:pPr>
      <w:r w:rsidRPr="00B725DF">
        <w:rPr>
          <w:rFonts w:ascii="Times New Roman" w:hAnsi="Times New Roman" w:cs="Times New Roman"/>
          <w:color w:val="000000"/>
        </w:rPr>
        <w:t>F</w:t>
      </w:r>
      <w:r w:rsidR="00F65F1B" w:rsidRPr="00BA4495">
        <w:rPr>
          <w:rFonts w:ascii="Times New Roman" w:hAnsi="Times New Roman" w:cs="Times New Roman"/>
          <w:color w:val="000000"/>
        </w:rPr>
        <w:t>avoriser l</w:t>
      </w:r>
      <w:r w:rsidR="00570944">
        <w:rPr>
          <w:rFonts w:ascii="Times New Roman" w:hAnsi="Times New Roman" w:cs="Times New Roman"/>
          <w:color w:val="000000"/>
        </w:rPr>
        <w:t>’</w:t>
      </w:r>
      <w:r w:rsidR="00F65F1B" w:rsidRPr="00BA4495">
        <w:rPr>
          <w:rFonts w:ascii="Times New Roman" w:hAnsi="Times New Roman" w:cs="Times New Roman"/>
          <w:color w:val="000000"/>
        </w:rPr>
        <w:t xml:space="preserve">autodiagnostic ou le dépistage volontaire </w:t>
      </w:r>
      <w:r w:rsidR="000F2AB1" w:rsidRPr="00BA4495">
        <w:rPr>
          <w:rFonts w:ascii="Times New Roman" w:hAnsi="Times New Roman" w:cs="Times New Roman"/>
          <w:color w:val="000000"/>
        </w:rPr>
        <w:t xml:space="preserve">du VIH </w:t>
      </w:r>
      <w:r w:rsidR="00F65F1B" w:rsidRPr="00BA4495">
        <w:rPr>
          <w:rFonts w:ascii="Times New Roman" w:hAnsi="Times New Roman" w:cs="Times New Roman"/>
          <w:color w:val="000000"/>
        </w:rPr>
        <w:t>dans tous les contextes</w:t>
      </w:r>
      <w:r w:rsidR="00B725DF" w:rsidRPr="00BA4495">
        <w:rPr>
          <w:rFonts w:ascii="Times New Roman" w:hAnsi="Times New Roman" w:cs="Times New Roman"/>
          <w:color w:val="000000"/>
        </w:rPr>
        <w:t> ; v</w:t>
      </w:r>
      <w:r w:rsidR="00F65F1B" w:rsidRPr="00BA4495">
        <w:rPr>
          <w:rFonts w:ascii="Times New Roman" w:hAnsi="Times New Roman" w:cs="Times New Roman"/>
          <w:color w:val="000000"/>
        </w:rPr>
        <w:t xml:space="preserve">eiller à ce que chaque adolescent connaisse son statut sérologique grâce au dépistage volontaire, et garantir un traitement </w:t>
      </w:r>
      <w:r w:rsidR="008240F3" w:rsidRPr="00BA4495">
        <w:rPr>
          <w:rFonts w:ascii="Times New Roman" w:hAnsi="Times New Roman" w:cs="Times New Roman"/>
          <w:color w:val="000000"/>
        </w:rPr>
        <w:t xml:space="preserve">gratuit et de qualité </w:t>
      </w:r>
      <w:r w:rsidR="00F65F1B" w:rsidRPr="00BA4495">
        <w:rPr>
          <w:rFonts w:ascii="Times New Roman" w:hAnsi="Times New Roman" w:cs="Times New Roman"/>
          <w:color w:val="000000"/>
        </w:rPr>
        <w:t>aux adolescents séropositifs</w:t>
      </w:r>
      <w:r w:rsidR="00984E13" w:rsidRPr="00BA4495">
        <w:rPr>
          <w:rFonts w:ascii="Times New Roman" w:hAnsi="Times New Roman" w:cs="Times New Roman"/>
          <w:color w:val="000000"/>
        </w:rPr>
        <w:t> ; éliminer les dispositions – lorsqu</w:t>
      </w:r>
      <w:r w:rsidR="00570944">
        <w:rPr>
          <w:rFonts w:ascii="Times New Roman" w:hAnsi="Times New Roman" w:cs="Times New Roman"/>
          <w:color w:val="000000"/>
        </w:rPr>
        <w:t>’</w:t>
      </w:r>
      <w:r w:rsidR="00984E13" w:rsidRPr="00BA4495">
        <w:rPr>
          <w:rFonts w:ascii="Times New Roman" w:hAnsi="Times New Roman" w:cs="Times New Roman"/>
          <w:color w:val="000000"/>
        </w:rPr>
        <w:t>elles existent – qui imposent le consentement des parents ou la communication obligatoire des résultats aux parents lorsqu</w:t>
      </w:r>
      <w:r w:rsidR="00570944">
        <w:rPr>
          <w:rFonts w:ascii="Times New Roman" w:hAnsi="Times New Roman" w:cs="Times New Roman"/>
          <w:color w:val="000000"/>
        </w:rPr>
        <w:t>’</w:t>
      </w:r>
      <w:r w:rsidR="00984E13" w:rsidRPr="00BA4495">
        <w:rPr>
          <w:rFonts w:ascii="Times New Roman" w:hAnsi="Times New Roman" w:cs="Times New Roman"/>
          <w:color w:val="000000"/>
        </w:rPr>
        <w:t xml:space="preserve">un adolescent réalise un test de dépistage du VIH.   </w:t>
      </w:r>
    </w:p>
    <w:p w14:paraId="79E45C44" w14:textId="5532DBBA" w:rsidR="002A5EE1" w:rsidRPr="00BA4495" w:rsidRDefault="002A5EE1" w:rsidP="006B4F74">
      <w:pPr>
        <w:pStyle w:val="ListParagraph"/>
        <w:numPr>
          <w:ilvl w:val="0"/>
          <w:numId w:val="11"/>
        </w:numPr>
        <w:spacing w:after="120"/>
        <w:jc w:val="both"/>
        <w:rPr>
          <w:rFonts w:ascii="Times New Roman" w:hAnsi="Times New Roman" w:cs="Times New Roman"/>
          <w:color w:val="000000"/>
        </w:rPr>
      </w:pPr>
      <w:r w:rsidRPr="00BA4495">
        <w:rPr>
          <w:rFonts w:ascii="Times New Roman" w:hAnsi="Times New Roman" w:cs="Times New Roman"/>
          <w:color w:val="000000"/>
        </w:rPr>
        <w:t>Renforcer l</w:t>
      </w:r>
      <w:r w:rsidR="00570944">
        <w:rPr>
          <w:rFonts w:ascii="Times New Roman" w:hAnsi="Times New Roman" w:cs="Times New Roman"/>
          <w:color w:val="000000"/>
        </w:rPr>
        <w:t>’</w:t>
      </w:r>
      <w:r w:rsidRPr="00BA4495">
        <w:rPr>
          <w:rFonts w:ascii="Times New Roman" w:hAnsi="Times New Roman" w:cs="Times New Roman"/>
          <w:color w:val="000000"/>
        </w:rPr>
        <w:t xml:space="preserve">engagement des communautés envers le système de santé par le biais de dialogues communautaires et du renforcement des capacités pour faciliter le changement de comportement ; </w:t>
      </w:r>
      <w:r w:rsidR="00736B35" w:rsidRPr="00BA4495">
        <w:rPr>
          <w:rFonts w:ascii="Times New Roman" w:hAnsi="Times New Roman" w:cs="Times New Roman"/>
          <w:color w:val="000000"/>
        </w:rPr>
        <w:t>renforcer</w:t>
      </w:r>
      <w:r w:rsidRPr="00BA4495">
        <w:rPr>
          <w:rFonts w:ascii="Times New Roman" w:hAnsi="Times New Roman" w:cs="Times New Roman"/>
          <w:color w:val="000000"/>
        </w:rPr>
        <w:t xml:space="preserve"> la collaboration avec les acteurs de la société civile. </w:t>
      </w:r>
    </w:p>
    <w:p w14:paraId="65726F8C" w14:textId="327A81F7" w:rsidR="002A5EE1" w:rsidRPr="002A5EE1" w:rsidRDefault="002A5EE1" w:rsidP="006B4F74">
      <w:pPr>
        <w:spacing w:after="120"/>
        <w:jc w:val="both"/>
        <w:rPr>
          <w:rFonts w:ascii="Times New Roman" w:hAnsi="Times New Roman" w:cs="Times New Roman"/>
          <w:b/>
          <w:bCs/>
          <w:i/>
        </w:rPr>
      </w:pPr>
      <w:r w:rsidRPr="002A5EE1">
        <w:rPr>
          <w:rFonts w:ascii="Times New Roman" w:hAnsi="Times New Roman" w:cs="Times New Roman"/>
          <w:b/>
          <w:bCs/>
          <w:i/>
        </w:rPr>
        <w:t xml:space="preserve">Des services efficaces et efficients </w:t>
      </w:r>
    </w:p>
    <w:p w14:paraId="440C12A5" w14:textId="266F3D5C" w:rsidR="004655C3" w:rsidRDefault="004655C3" w:rsidP="006B4F74">
      <w:pPr>
        <w:pStyle w:val="ListParagraph"/>
        <w:numPr>
          <w:ilvl w:val="0"/>
          <w:numId w:val="11"/>
        </w:numPr>
        <w:spacing w:after="120"/>
        <w:jc w:val="both"/>
        <w:rPr>
          <w:rFonts w:ascii="Times New Roman" w:hAnsi="Times New Roman" w:cs="Times New Roman"/>
          <w:iCs/>
        </w:rPr>
      </w:pPr>
      <w:r w:rsidRPr="002A5EE1">
        <w:rPr>
          <w:rFonts w:ascii="Times New Roman" w:hAnsi="Times New Roman" w:cs="Times New Roman"/>
          <w:iCs/>
        </w:rPr>
        <w:t xml:space="preserve">Renforcer </w:t>
      </w:r>
      <w:r w:rsidR="003D1101">
        <w:rPr>
          <w:rFonts w:ascii="Times New Roman" w:hAnsi="Times New Roman" w:cs="Times New Roman"/>
          <w:iCs/>
        </w:rPr>
        <w:t>les donn</w:t>
      </w:r>
      <w:r w:rsidR="00974998">
        <w:rPr>
          <w:rFonts w:ascii="Times New Roman" w:hAnsi="Times New Roman" w:cs="Times New Roman"/>
          <w:iCs/>
        </w:rPr>
        <w:t>é</w:t>
      </w:r>
      <w:r w:rsidR="003D1101">
        <w:rPr>
          <w:rFonts w:ascii="Times New Roman" w:hAnsi="Times New Roman" w:cs="Times New Roman"/>
          <w:iCs/>
        </w:rPr>
        <w:t>es probantes sur l</w:t>
      </w:r>
      <w:r w:rsidRPr="002A5EE1">
        <w:rPr>
          <w:rFonts w:ascii="Times New Roman" w:hAnsi="Times New Roman" w:cs="Times New Roman"/>
          <w:iCs/>
        </w:rPr>
        <w:t>es mécanismes et programmes de prestation de services efficaces et efficients pour les adolescents et les jeunes dans divers contextes et circonstances sociales.</w:t>
      </w:r>
    </w:p>
    <w:p w14:paraId="0D5243B3" w14:textId="1C0F71BF" w:rsidR="002A5EE1" w:rsidRPr="002A5EE1" w:rsidRDefault="002A5EE1" w:rsidP="006B4F74">
      <w:pPr>
        <w:pStyle w:val="ListParagraph"/>
        <w:numPr>
          <w:ilvl w:val="0"/>
          <w:numId w:val="11"/>
        </w:numPr>
        <w:spacing w:after="120"/>
        <w:jc w:val="both"/>
        <w:rPr>
          <w:rFonts w:ascii="Times New Roman" w:hAnsi="Times New Roman" w:cs="Times New Roman"/>
          <w:iCs/>
        </w:rPr>
      </w:pPr>
      <w:r w:rsidRPr="002A5EE1">
        <w:rPr>
          <w:rFonts w:ascii="Times New Roman" w:hAnsi="Times New Roman" w:cs="Times New Roman"/>
          <w:iCs/>
        </w:rPr>
        <w:t xml:space="preserve">Renforcer la logistique de la </w:t>
      </w:r>
      <w:r>
        <w:rPr>
          <w:rFonts w:ascii="Times New Roman" w:hAnsi="Times New Roman" w:cs="Times New Roman"/>
          <w:iCs/>
        </w:rPr>
        <w:t xml:space="preserve">SSR </w:t>
      </w:r>
      <w:r w:rsidRPr="002A5EE1">
        <w:rPr>
          <w:rFonts w:ascii="Times New Roman" w:hAnsi="Times New Roman" w:cs="Times New Roman"/>
          <w:iCs/>
        </w:rPr>
        <w:t>pour éviter les ruptures de stock de contraceptifs et d</w:t>
      </w:r>
      <w:r w:rsidR="00570944">
        <w:rPr>
          <w:rFonts w:ascii="Times New Roman" w:hAnsi="Times New Roman" w:cs="Times New Roman"/>
          <w:iCs/>
        </w:rPr>
        <w:t>’</w:t>
      </w:r>
      <w:r w:rsidRPr="002A5EE1">
        <w:rPr>
          <w:rFonts w:ascii="Times New Roman" w:hAnsi="Times New Roman" w:cs="Times New Roman"/>
          <w:iCs/>
        </w:rPr>
        <w:t>autres produits essentiels dans les établissements de santé du secteur public.</w:t>
      </w:r>
    </w:p>
    <w:p w14:paraId="1C44C3A5" w14:textId="5A989F8F" w:rsidR="00307390" w:rsidRPr="00C5041C" w:rsidRDefault="002A5EE1" w:rsidP="006B4F74">
      <w:pPr>
        <w:pStyle w:val="ListParagraph"/>
        <w:numPr>
          <w:ilvl w:val="0"/>
          <w:numId w:val="11"/>
        </w:numPr>
        <w:spacing w:after="120"/>
        <w:jc w:val="both"/>
        <w:rPr>
          <w:rFonts w:ascii="Times New Roman" w:hAnsi="Times New Roman" w:cs="Times New Roman"/>
          <w:iCs/>
        </w:rPr>
      </w:pPr>
      <w:r>
        <w:rPr>
          <w:rFonts w:ascii="Times New Roman" w:hAnsi="Times New Roman" w:cs="Times New Roman"/>
          <w:iCs/>
        </w:rPr>
        <w:t>D</w:t>
      </w:r>
      <w:r w:rsidRPr="003C164C">
        <w:rPr>
          <w:rFonts w:ascii="Times New Roman" w:hAnsi="Times New Roman" w:cs="Times New Roman"/>
          <w:iCs/>
        </w:rPr>
        <w:t>évelopp</w:t>
      </w:r>
      <w:r>
        <w:rPr>
          <w:rFonts w:ascii="Times New Roman" w:hAnsi="Times New Roman" w:cs="Times New Roman"/>
          <w:iCs/>
        </w:rPr>
        <w:t>er</w:t>
      </w:r>
      <w:r w:rsidRPr="003C164C">
        <w:rPr>
          <w:rFonts w:ascii="Times New Roman" w:hAnsi="Times New Roman" w:cs="Times New Roman"/>
          <w:iCs/>
        </w:rPr>
        <w:t xml:space="preserve"> les capacités des </w:t>
      </w:r>
      <w:r w:rsidR="00716B00">
        <w:rPr>
          <w:rFonts w:ascii="Times New Roman" w:hAnsi="Times New Roman"/>
          <w:iCs/>
        </w:rPr>
        <w:t>prestataires</w:t>
      </w:r>
      <w:r w:rsidRPr="003C164C">
        <w:rPr>
          <w:rFonts w:ascii="Times New Roman" w:hAnsi="Times New Roman" w:cs="Times New Roman"/>
          <w:iCs/>
        </w:rPr>
        <w:t xml:space="preserve"> de </w:t>
      </w:r>
      <w:r w:rsidR="00716B00" w:rsidRPr="003C164C">
        <w:rPr>
          <w:rFonts w:ascii="Times New Roman" w:hAnsi="Times New Roman"/>
          <w:iCs/>
        </w:rPr>
        <w:t>santé</w:t>
      </w:r>
      <w:r w:rsidRPr="003C164C">
        <w:rPr>
          <w:rFonts w:ascii="Times New Roman" w:hAnsi="Times New Roman" w:cs="Times New Roman"/>
          <w:iCs/>
        </w:rPr>
        <w:t xml:space="preserve"> à fournir des services de qualité et sans jugement aux adolescents et aux jeunes</w:t>
      </w:r>
      <w:r w:rsidR="00C5041C">
        <w:rPr>
          <w:rFonts w:ascii="Times New Roman" w:hAnsi="Times New Roman" w:cs="Times New Roman"/>
          <w:iCs/>
        </w:rPr>
        <w:t xml:space="preserve"> ; </w:t>
      </w:r>
      <w:r>
        <w:rPr>
          <w:rFonts w:ascii="Times New Roman" w:hAnsi="Times New Roman" w:cs="Times New Roman"/>
          <w:iCs/>
        </w:rPr>
        <w:t>les former à l</w:t>
      </w:r>
      <w:r w:rsidR="00570944">
        <w:rPr>
          <w:rFonts w:ascii="Times New Roman" w:hAnsi="Times New Roman" w:cs="Times New Roman"/>
          <w:iCs/>
        </w:rPr>
        <w:t>’</w:t>
      </w:r>
      <w:r w:rsidR="000542BD">
        <w:rPr>
          <w:rFonts w:ascii="Times New Roman" w:hAnsi="Times New Roman" w:cs="Times New Roman"/>
          <w:iCs/>
        </w:rPr>
        <w:t>IEC</w:t>
      </w:r>
      <w:r w:rsidR="00C5041C">
        <w:rPr>
          <w:rFonts w:ascii="Times New Roman" w:hAnsi="Times New Roman" w:cs="Times New Roman"/>
          <w:iCs/>
        </w:rPr>
        <w:t xml:space="preserve"> et aux</w:t>
      </w:r>
      <w:r w:rsidR="00307390" w:rsidRPr="00C5041C">
        <w:rPr>
          <w:rFonts w:ascii="Times New Roman" w:hAnsi="Times New Roman" w:cs="Times New Roman"/>
          <w:iCs/>
        </w:rPr>
        <w:t xml:space="preserve"> standards de services de santé adaptés à la stratégie mondiale </w:t>
      </w:r>
      <w:r w:rsidR="00307390" w:rsidRPr="00C5041C">
        <w:rPr>
          <w:rFonts w:ascii="Times New Roman" w:hAnsi="Times New Roman" w:cs="Times New Roman"/>
          <w:i/>
        </w:rPr>
        <w:t>Action Accélérée en faveur de la Santé des Adolescents et des Jeunes</w:t>
      </w:r>
      <w:r w:rsidR="00C5041C">
        <w:rPr>
          <w:rFonts w:ascii="Times New Roman" w:hAnsi="Times New Roman" w:cs="Times New Roman"/>
          <w:i/>
        </w:rPr>
        <w:t>.</w:t>
      </w:r>
    </w:p>
    <w:p w14:paraId="27606E1C" w14:textId="073E17E6" w:rsidR="002A5EE1" w:rsidRPr="00850E23" w:rsidRDefault="00850E23" w:rsidP="00680AF4">
      <w:pPr>
        <w:pStyle w:val="ListParagraph"/>
        <w:numPr>
          <w:ilvl w:val="0"/>
          <w:numId w:val="11"/>
        </w:numPr>
        <w:spacing w:after="120"/>
        <w:jc w:val="both"/>
        <w:rPr>
          <w:rFonts w:ascii="Times New Roman" w:hAnsi="Times New Roman" w:cs="Times New Roman"/>
          <w:iCs/>
        </w:rPr>
      </w:pPr>
      <w:r w:rsidRPr="00850E23">
        <w:rPr>
          <w:rFonts w:ascii="Times New Roman" w:hAnsi="Times New Roman" w:cs="Times New Roman"/>
          <w:iCs/>
        </w:rPr>
        <w:t xml:space="preserve">Renforcer le dispositif de suivi et d’évaluation, investir dans la recherche sur la SSR des jeunes et des adolescents, et </w:t>
      </w:r>
      <w:r>
        <w:rPr>
          <w:rFonts w:ascii="Times New Roman" w:hAnsi="Times New Roman" w:cs="Times New Roman"/>
          <w:iCs/>
        </w:rPr>
        <w:t>a</w:t>
      </w:r>
      <w:r w:rsidR="002A5EE1" w:rsidRPr="00850E23">
        <w:rPr>
          <w:rFonts w:ascii="Times New Roman" w:hAnsi="Times New Roman" w:cs="Times New Roman"/>
          <w:iCs/>
        </w:rPr>
        <w:t xml:space="preserve">méliorer le suivi des performances des </w:t>
      </w:r>
      <w:r w:rsidR="00716B00" w:rsidRPr="00850E23">
        <w:rPr>
          <w:rFonts w:ascii="Times New Roman" w:hAnsi="Times New Roman"/>
          <w:iCs/>
        </w:rPr>
        <w:t xml:space="preserve">prestataires </w:t>
      </w:r>
      <w:r w:rsidR="002A5EE1" w:rsidRPr="00850E23">
        <w:rPr>
          <w:rFonts w:ascii="Times New Roman" w:hAnsi="Times New Roman" w:cs="Times New Roman"/>
          <w:iCs/>
        </w:rPr>
        <w:t xml:space="preserve">de santé et des systèmes de santé. </w:t>
      </w:r>
    </w:p>
    <w:p w14:paraId="5C0C128A" w14:textId="517DF6C3" w:rsidR="002A5EE1" w:rsidRDefault="002A5EE1" w:rsidP="006B4F74">
      <w:pPr>
        <w:pStyle w:val="ListParagraph"/>
        <w:numPr>
          <w:ilvl w:val="0"/>
          <w:numId w:val="11"/>
        </w:numPr>
        <w:jc w:val="both"/>
        <w:rPr>
          <w:rFonts w:ascii="Times New Roman" w:hAnsi="Times New Roman" w:cs="Times New Roman"/>
        </w:rPr>
      </w:pPr>
      <w:r w:rsidRPr="002A5EE1">
        <w:rPr>
          <w:rFonts w:ascii="Times New Roman" w:hAnsi="Times New Roman" w:cs="Times New Roman"/>
        </w:rPr>
        <w:t>Intégrer</w:t>
      </w:r>
      <w:r w:rsidR="00466D10">
        <w:rPr>
          <w:rFonts w:ascii="Times New Roman" w:hAnsi="Times New Roman" w:cs="Times New Roman"/>
        </w:rPr>
        <w:t xml:space="preserve"> ou développer</w:t>
      </w:r>
      <w:r w:rsidRPr="002A5EE1">
        <w:rPr>
          <w:rFonts w:ascii="Times New Roman" w:hAnsi="Times New Roman" w:cs="Times New Roman"/>
        </w:rPr>
        <w:t xml:space="preserve"> des paquets de services (distribution des contraceptifs</w:t>
      </w:r>
      <w:r w:rsidR="00EC7B65">
        <w:rPr>
          <w:rFonts w:ascii="Times New Roman" w:hAnsi="Times New Roman" w:cs="Times New Roman"/>
        </w:rPr>
        <w:t xml:space="preserve">, </w:t>
      </w:r>
      <w:r w:rsidR="00EC7B65" w:rsidRPr="003C164C">
        <w:rPr>
          <w:rFonts w:ascii="Times New Roman" w:hAnsi="Times New Roman" w:cs="Times New Roman"/>
        </w:rPr>
        <w:t>kits hygiéniques pour les filles</w:t>
      </w:r>
      <w:r w:rsidR="00813431">
        <w:rPr>
          <w:rFonts w:ascii="Times New Roman" w:hAnsi="Times New Roman" w:cs="Times New Roman"/>
        </w:rPr>
        <w:t>, etc.</w:t>
      </w:r>
      <w:r w:rsidRPr="002A5EE1">
        <w:rPr>
          <w:rFonts w:ascii="Times New Roman" w:hAnsi="Times New Roman" w:cs="Times New Roman"/>
        </w:rPr>
        <w:t>)</w:t>
      </w:r>
      <w:r w:rsidR="00EC7B65">
        <w:rPr>
          <w:rFonts w:ascii="Times New Roman" w:hAnsi="Times New Roman" w:cs="Times New Roman"/>
        </w:rPr>
        <w:t xml:space="preserve">, y compris dans les établissements scolaires. </w:t>
      </w:r>
    </w:p>
    <w:p w14:paraId="6E1D67ED" w14:textId="34EB34A5" w:rsidR="00D4541B" w:rsidRDefault="00D4541B" w:rsidP="006B4F74">
      <w:pPr>
        <w:pStyle w:val="ListParagraph"/>
        <w:numPr>
          <w:ilvl w:val="0"/>
          <w:numId w:val="11"/>
        </w:numPr>
        <w:jc w:val="both"/>
        <w:rPr>
          <w:rFonts w:ascii="Times New Roman" w:hAnsi="Times New Roman" w:cs="Times New Roman"/>
          <w:color w:val="000000"/>
        </w:rPr>
      </w:pPr>
      <w:r w:rsidRPr="00F6105A">
        <w:rPr>
          <w:rFonts w:ascii="Times New Roman" w:hAnsi="Times New Roman" w:cs="Times New Roman"/>
          <w:color w:val="000000"/>
        </w:rPr>
        <w:t>Faciliter l</w:t>
      </w:r>
      <w:r w:rsidR="00570944">
        <w:rPr>
          <w:rFonts w:ascii="Times New Roman" w:hAnsi="Times New Roman" w:cs="Times New Roman"/>
          <w:color w:val="000000"/>
        </w:rPr>
        <w:t>’</w:t>
      </w:r>
      <w:r w:rsidRPr="00F6105A">
        <w:rPr>
          <w:rFonts w:ascii="Times New Roman" w:hAnsi="Times New Roman" w:cs="Times New Roman"/>
          <w:color w:val="000000"/>
        </w:rPr>
        <w:t>accès du plus grand nombre d</w:t>
      </w:r>
      <w:r w:rsidR="00570944">
        <w:rPr>
          <w:rFonts w:ascii="Times New Roman" w:hAnsi="Times New Roman" w:cs="Times New Roman"/>
          <w:color w:val="000000"/>
        </w:rPr>
        <w:t>’</w:t>
      </w:r>
      <w:r w:rsidRPr="00F6105A">
        <w:rPr>
          <w:rFonts w:ascii="Times New Roman" w:hAnsi="Times New Roman" w:cs="Times New Roman"/>
          <w:color w:val="000000"/>
        </w:rPr>
        <w:t>acteurs sociaux au mécanisme de financements des offres de services.</w:t>
      </w:r>
    </w:p>
    <w:p w14:paraId="099BD87A" w14:textId="484C0462" w:rsidR="00BB419D" w:rsidRDefault="00BB419D" w:rsidP="006B4F74">
      <w:pPr>
        <w:jc w:val="both"/>
        <w:rPr>
          <w:rFonts w:ascii="Times New Roman" w:hAnsi="Times New Roman" w:cs="Times New Roman"/>
          <w:color w:val="000000"/>
        </w:rPr>
      </w:pPr>
    </w:p>
    <w:p w14:paraId="2750F31A" w14:textId="77777777" w:rsidR="00BD4C08" w:rsidRPr="00BB419D" w:rsidRDefault="00BD4C08" w:rsidP="006B4F74">
      <w:pPr>
        <w:jc w:val="both"/>
        <w:rPr>
          <w:rFonts w:ascii="Times New Roman" w:hAnsi="Times New Roman" w:cs="Times New Roman"/>
          <w:color w:val="000000"/>
        </w:rPr>
      </w:pPr>
    </w:p>
    <w:p w14:paraId="227A2429" w14:textId="1F930F4A" w:rsidR="00EC7B65" w:rsidRPr="00CF320F" w:rsidRDefault="00085541" w:rsidP="006B4F74">
      <w:pPr>
        <w:pStyle w:val="Heading2"/>
        <w:jc w:val="both"/>
        <w:rPr>
          <w:rFonts w:ascii="Times New Roman" w:hAnsi="Times New Roman" w:cs="Times New Roman"/>
        </w:rPr>
      </w:pPr>
      <w:r w:rsidRPr="003C164C">
        <w:rPr>
          <w:rFonts w:ascii="Times New Roman" w:hAnsi="Times New Roman" w:cs="Times New Roman"/>
        </w:rPr>
        <w:t>Réponse aux inégalités de genre et aux violences sexuelles et basées sur le genre (y compris en milieu scolaire)</w:t>
      </w:r>
    </w:p>
    <w:p w14:paraId="587065DB" w14:textId="6B1A15AA" w:rsidR="00EC7B65" w:rsidRPr="00EC7B65" w:rsidRDefault="00EC7B65" w:rsidP="006B4F74">
      <w:pPr>
        <w:spacing w:after="120"/>
        <w:jc w:val="both"/>
        <w:rPr>
          <w:rFonts w:ascii="Times New Roman" w:hAnsi="Times New Roman" w:cs="Times New Roman"/>
          <w:b/>
          <w:bCs/>
          <w:i/>
        </w:rPr>
      </w:pPr>
      <w:r w:rsidRPr="00EC7B65">
        <w:rPr>
          <w:rFonts w:ascii="Times New Roman" w:hAnsi="Times New Roman" w:cs="Times New Roman"/>
          <w:b/>
          <w:bCs/>
          <w:i/>
        </w:rPr>
        <w:t>Des environnements</w:t>
      </w:r>
      <w:r w:rsidR="007F1E72">
        <w:rPr>
          <w:rFonts w:ascii="Times New Roman" w:hAnsi="Times New Roman" w:cs="Times New Roman"/>
          <w:b/>
          <w:bCs/>
          <w:i/>
        </w:rPr>
        <w:t xml:space="preserve"> sains, </w:t>
      </w:r>
      <w:r w:rsidRPr="00EC7B65">
        <w:rPr>
          <w:rFonts w:ascii="Times New Roman" w:hAnsi="Times New Roman" w:cs="Times New Roman"/>
          <w:b/>
          <w:bCs/>
          <w:i/>
        </w:rPr>
        <w:t xml:space="preserve">sûrs et </w:t>
      </w:r>
      <w:r w:rsidR="007F1E72">
        <w:rPr>
          <w:rFonts w:ascii="Times New Roman" w:hAnsi="Times New Roman" w:cs="Times New Roman"/>
          <w:b/>
          <w:bCs/>
          <w:i/>
        </w:rPr>
        <w:t>inclusifs</w:t>
      </w:r>
      <w:r w:rsidR="009508B9">
        <w:rPr>
          <w:rFonts w:ascii="Times New Roman" w:hAnsi="Times New Roman" w:cs="Times New Roman"/>
          <w:b/>
          <w:bCs/>
          <w:i/>
        </w:rPr>
        <w:t xml:space="preserve">, </w:t>
      </w:r>
      <w:r w:rsidR="003B5DC3">
        <w:rPr>
          <w:rFonts w:ascii="Times New Roman" w:hAnsi="Times New Roman" w:cs="Times New Roman"/>
          <w:b/>
          <w:bCs/>
          <w:i/>
        </w:rPr>
        <w:t>et reliés aux</w:t>
      </w:r>
      <w:r w:rsidR="009508B9">
        <w:rPr>
          <w:rFonts w:ascii="Times New Roman" w:hAnsi="Times New Roman" w:cs="Times New Roman"/>
          <w:b/>
          <w:bCs/>
          <w:i/>
        </w:rPr>
        <w:t xml:space="preserve"> services</w:t>
      </w:r>
    </w:p>
    <w:p w14:paraId="69E16CAF" w14:textId="250D452A" w:rsidR="000C3687" w:rsidRPr="00850E23" w:rsidRDefault="000C3687" w:rsidP="00850E23">
      <w:pPr>
        <w:pStyle w:val="ListParagraph"/>
        <w:numPr>
          <w:ilvl w:val="0"/>
          <w:numId w:val="11"/>
        </w:numPr>
        <w:rPr>
          <w:rFonts w:ascii="Times New Roman" w:hAnsi="Times New Roman" w:cs="Times New Roman"/>
          <w:color w:val="000000"/>
        </w:rPr>
      </w:pPr>
      <w:r w:rsidRPr="00850E23">
        <w:rPr>
          <w:rFonts w:ascii="Times New Roman" w:hAnsi="Times New Roman" w:cs="Times New Roman"/>
          <w:color w:val="000000"/>
        </w:rPr>
        <w:t>S</w:t>
      </w:r>
      <w:r w:rsidR="00570944" w:rsidRPr="00850E23">
        <w:rPr>
          <w:rFonts w:ascii="Times New Roman" w:hAnsi="Times New Roman" w:cs="Times New Roman"/>
          <w:color w:val="000000"/>
        </w:rPr>
        <w:t>’</w:t>
      </w:r>
      <w:r w:rsidRPr="00850E23">
        <w:rPr>
          <w:rFonts w:ascii="Times New Roman" w:hAnsi="Times New Roman" w:cs="Times New Roman"/>
          <w:color w:val="000000"/>
        </w:rPr>
        <w:t>assurer que les écoles et les environnements</w:t>
      </w:r>
      <w:r w:rsidR="007F1E72" w:rsidRPr="00850E23">
        <w:rPr>
          <w:rFonts w:ascii="Times New Roman" w:hAnsi="Times New Roman" w:cs="Times New Roman"/>
          <w:color w:val="000000"/>
        </w:rPr>
        <w:t xml:space="preserve"> d</w:t>
      </w:r>
      <w:r w:rsidR="00570944" w:rsidRPr="00850E23">
        <w:rPr>
          <w:rFonts w:ascii="Times New Roman" w:hAnsi="Times New Roman" w:cs="Times New Roman"/>
          <w:color w:val="000000"/>
        </w:rPr>
        <w:t>’</w:t>
      </w:r>
      <w:r w:rsidR="007F1E72" w:rsidRPr="00850E23">
        <w:rPr>
          <w:rFonts w:ascii="Times New Roman" w:hAnsi="Times New Roman" w:cs="Times New Roman"/>
          <w:color w:val="000000"/>
        </w:rPr>
        <w:t>apprentissage et</w:t>
      </w:r>
      <w:r w:rsidRPr="00850E23">
        <w:rPr>
          <w:rFonts w:ascii="Times New Roman" w:hAnsi="Times New Roman" w:cs="Times New Roman"/>
          <w:color w:val="000000"/>
        </w:rPr>
        <w:t xml:space="preserve"> communautaires soient plus sûrs, plus sains et inc</w:t>
      </w:r>
      <w:r w:rsidR="00850E23" w:rsidRPr="00850E23">
        <w:rPr>
          <w:rFonts w:ascii="Times New Roman" w:hAnsi="Times New Roman" w:cs="Times New Roman"/>
          <w:color w:val="000000"/>
        </w:rPr>
        <w:t>l</w:t>
      </w:r>
      <w:r w:rsidR="00850E23">
        <w:rPr>
          <w:rFonts w:ascii="Times New Roman" w:hAnsi="Times New Roman" w:cs="Times New Roman"/>
          <w:color w:val="000000"/>
        </w:rPr>
        <w:t>usifs pour tous les apprenants</w:t>
      </w:r>
      <w:r w:rsidR="00850E23" w:rsidRPr="00850E23">
        <w:rPr>
          <w:rFonts w:ascii="Times New Roman" w:hAnsi="Times New Roman" w:cs="Times New Roman"/>
          <w:color w:val="000000"/>
        </w:rPr>
        <w:t>, dotés d’espaces sûrs pour les adolescents et les jeunes dans les milieux scolaire</w:t>
      </w:r>
      <w:r w:rsidR="00850E23">
        <w:rPr>
          <w:rFonts w:ascii="Times New Roman" w:hAnsi="Times New Roman" w:cs="Times New Roman"/>
          <w:color w:val="000000"/>
        </w:rPr>
        <w:t>s et extrascolaires, et favorise</w:t>
      </w:r>
      <w:r w:rsidR="00850E23" w:rsidRPr="00850E23">
        <w:rPr>
          <w:rFonts w:ascii="Times New Roman" w:hAnsi="Times New Roman" w:cs="Times New Roman"/>
          <w:color w:val="000000"/>
        </w:rPr>
        <w:t xml:space="preserve">nt la communication, l’échange et la discussion entre jeunes et adolescents des deux sexes sur </w:t>
      </w:r>
      <w:r w:rsidR="00850E23">
        <w:rPr>
          <w:rFonts w:ascii="Times New Roman" w:hAnsi="Times New Roman" w:cs="Times New Roman"/>
          <w:color w:val="000000"/>
        </w:rPr>
        <w:t>la SSR</w:t>
      </w:r>
      <w:r w:rsidR="00850E23" w:rsidRPr="00850E23">
        <w:rPr>
          <w:rFonts w:ascii="Times New Roman" w:hAnsi="Times New Roman" w:cs="Times New Roman"/>
          <w:color w:val="000000"/>
        </w:rPr>
        <w:t>, les violences basées sur le genre et les droits de l’enfant.</w:t>
      </w:r>
    </w:p>
    <w:p w14:paraId="28BC23DB" w14:textId="36A28682" w:rsidR="00EC7B65" w:rsidRPr="000C3687" w:rsidRDefault="000C3687" w:rsidP="006B4F74">
      <w:pPr>
        <w:pStyle w:val="ListParagraph"/>
        <w:numPr>
          <w:ilvl w:val="0"/>
          <w:numId w:val="11"/>
        </w:numPr>
        <w:jc w:val="both"/>
        <w:rPr>
          <w:rFonts w:ascii="Times New Roman" w:hAnsi="Times New Roman" w:cs="Times New Roman"/>
          <w:color w:val="000000"/>
        </w:rPr>
      </w:pPr>
      <w:r w:rsidRPr="000C3687">
        <w:rPr>
          <w:rFonts w:ascii="Times New Roman" w:hAnsi="Times New Roman" w:cs="Times New Roman"/>
          <w:color w:val="000000"/>
        </w:rPr>
        <w:lastRenderedPageBreak/>
        <w:t>Apprendre aux</w:t>
      </w:r>
      <w:r w:rsidR="00EC7B65" w:rsidRPr="000C3687">
        <w:rPr>
          <w:rFonts w:ascii="Times New Roman" w:hAnsi="Times New Roman" w:cs="Times New Roman"/>
          <w:color w:val="000000"/>
        </w:rPr>
        <w:t xml:space="preserve"> </w:t>
      </w:r>
      <w:r w:rsidR="00850E23">
        <w:rPr>
          <w:rFonts w:ascii="Times New Roman" w:hAnsi="Times New Roman" w:cs="Times New Roman"/>
          <w:color w:val="000000"/>
        </w:rPr>
        <w:t xml:space="preserve">adolescents et aux </w:t>
      </w:r>
      <w:r w:rsidR="00EC7B65" w:rsidRPr="000C3687">
        <w:rPr>
          <w:rFonts w:ascii="Times New Roman" w:hAnsi="Times New Roman" w:cs="Times New Roman"/>
          <w:color w:val="000000"/>
        </w:rPr>
        <w:t>jeunes</w:t>
      </w:r>
      <w:r w:rsidRPr="000C3687">
        <w:rPr>
          <w:rFonts w:ascii="Times New Roman" w:hAnsi="Times New Roman" w:cs="Times New Roman"/>
          <w:color w:val="000000"/>
        </w:rPr>
        <w:t>, qu</w:t>
      </w:r>
      <w:r w:rsidR="00570944">
        <w:rPr>
          <w:rFonts w:ascii="Times New Roman" w:hAnsi="Times New Roman" w:cs="Times New Roman"/>
          <w:color w:val="000000"/>
        </w:rPr>
        <w:t>’</w:t>
      </w:r>
      <w:r w:rsidRPr="000C3687">
        <w:rPr>
          <w:rFonts w:ascii="Times New Roman" w:hAnsi="Times New Roman" w:cs="Times New Roman"/>
          <w:color w:val="000000"/>
        </w:rPr>
        <w:t>ils soient</w:t>
      </w:r>
      <w:r w:rsidR="00EC7B65" w:rsidRPr="000C3687">
        <w:rPr>
          <w:rFonts w:ascii="Times New Roman" w:hAnsi="Times New Roman" w:cs="Times New Roman"/>
          <w:color w:val="000000"/>
        </w:rPr>
        <w:t xml:space="preserve"> scolarisés </w:t>
      </w:r>
      <w:r w:rsidRPr="000C3687">
        <w:rPr>
          <w:rFonts w:ascii="Times New Roman" w:hAnsi="Times New Roman" w:cs="Times New Roman"/>
          <w:color w:val="000000"/>
        </w:rPr>
        <w:t>ou non,</w:t>
      </w:r>
      <w:r w:rsidR="00EC7B65" w:rsidRPr="000C3687">
        <w:rPr>
          <w:rFonts w:ascii="Times New Roman" w:hAnsi="Times New Roman" w:cs="Times New Roman"/>
          <w:color w:val="000000"/>
        </w:rPr>
        <w:t xml:space="preserve"> à signaler toutes les formes de </w:t>
      </w:r>
      <w:r w:rsidR="00813431">
        <w:rPr>
          <w:rFonts w:ascii="Times New Roman" w:hAnsi="Times New Roman" w:cs="Times New Roman"/>
          <w:color w:val="000000"/>
        </w:rPr>
        <w:t>violences basées sur le genre (</w:t>
      </w:r>
      <w:r w:rsidRPr="000C3687">
        <w:rPr>
          <w:rFonts w:ascii="Times New Roman" w:hAnsi="Times New Roman" w:cs="Times New Roman"/>
          <w:color w:val="000000"/>
        </w:rPr>
        <w:t>VBG</w:t>
      </w:r>
      <w:r w:rsidR="00813431">
        <w:rPr>
          <w:rFonts w:ascii="Times New Roman" w:hAnsi="Times New Roman" w:cs="Times New Roman"/>
          <w:color w:val="000000"/>
        </w:rPr>
        <w:t>)</w:t>
      </w:r>
      <w:r w:rsidR="00EC7B65" w:rsidRPr="000C3687">
        <w:rPr>
          <w:rFonts w:ascii="Times New Roman" w:hAnsi="Times New Roman" w:cs="Times New Roman"/>
          <w:color w:val="000000"/>
        </w:rPr>
        <w:t xml:space="preserve">.  </w:t>
      </w:r>
    </w:p>
    <w:p w14:paraId="1B423437" w14:textId="5B0E7105" w:rsidR="003B5DC3" w:rsidRDefault="00EC7B65" w:rsidP="006B4F74">
      <w:pPr>
        <w:pStyle w:val="ListParagraph"/>
        <w:numPr>
          <w:ilvl w:val="0"/>
          <w:numId w:val="11"/>
        </w:numPr>
        <w:jc w:val="both"/>
        <w:rPr>
          <w:rFonts w:ascii="Times New Roman" w:hAnsi="Times New Roman" w:cs="Times New Roman"/>
          <w:color w:val="000000"/>
        </w:rPr>
      </w:pPr>
      <w:r w:rsidRPr="00EC7B65">
        <w:rPr>
          <w:rFonts w:ascii="Times New Roman" w:hAnsi="Times New Roman" w:cs="Times New Roman"/>
          <w:color w:val="000000"/>
        </w:rPr>
        <w:t>Veiller au respect des standards en matière de construction des infrastructures</w:t>
      </w:r>
      <w:r w:rsidR="009B5A9C">
        <w:rPr>
          <w:rFonts w:ascii="Times New Roman" w:hAnsi="Times New Roman" w:cs="Times New Roman"/>
          <w:color w:val="000000"/>
        </w:rPr>
        <w:t>, y compris en termes d’inclusion,</w:t>
      </w:r>
      <w:r w:rsidRPr="00EC7B65">
        <w:rPr>
          <w:rFonts w:ascii="Times New Roman" w:hAnsi="Times New Roman" w:cs="Times New Roman"/>
          <w:color w:val="000000"/>
        </w:rPr>
        <w:t xml:space="preserve"> </w:t>
      </w:r>
      <w:r w:rsidR="00C87F96">
        <w:rPr>
          <w:rFonts w:ascii="Times New Roman" w:hAnsi="Times New Roman" w:cs="Times New Roman"/>
          <w:color w:val="000000"/>
        </w:rPr>
        <w:t>et</w:t>
      </w:r>
      <w:r>
        <w:rPr>
          <w:rFonts w:ascii="Times New Roman" w:hAnsi="Times New Roman" w:cs="Times New Roman"/>
          <w:color w:val="000000"/>
        </w:rPr>
        <w:t xml:space="preserve"> doter les écoles de latrines </w:t>
      </w:r>
      <w:r w:rsidR="00716B00">
        <w:rPr>
          <w:rFonts w:ascii="Times New Roman" w:hAnsi="Times New Roman"/>
          <w:color w:val="000000"/>
        </w:rPr>
        <w:t xml:space="preserve">sécurisées et </w:t>
      </w:r>
      <w:r>
        <w:rPr>
          <w:rFonts w:ascii="Times New Roman" w:hAnsi="Times New Roman" w:cs="Times New Roman"/>
          <w:color w:val="000000"/>
        </w:rPr>
        <w:t>séparées en fonction du sexe</w:t>
      </w:r>
      <w:r w:rsidR="003B5DC3">
        <w:rPr>
          <w:rFonts w:ascii="Times New Roman" w:hAnsi="Times New Roman" w:cs="Times New Roman"/>
          <w:color w:val="000000"/>
        </w:rPr>
        <w:t> ; intégrer des dispositifs sanitaires au sein des écoles</w:t>
      </w:r>
      <w:r w:rsidR="009B5A9C">
        <w:rPr>
          <w:rFonts w:ascii="Times New Roman" w:hAnsi="Times New Roman" w:cs="Times New Roman"/>
          <w:color w:val="000000"/>
        </w:rPr>
        <w:t xml:space="preserve"> pour favoriser la santé menstruelle</w:t>
      </w:r>
      <w:r w:rsidR="003B5DC3">
        <w:rPr>
          <w:rFonts w:ascii="Times New Roman" w:hAnsi="Times New Roman" w:cs="Times New Roman"/>
          <w:color w:val="000000"/>
        </w:rPr>
        <w:t xml:space="preserve">. </w:t>
      </w:r>
    </w:p>
    <w:p w14:paraId="1B84D8A0" w14:textId="2A53A2C5" w:rsidR="00FB6A02" w:rsidRPr="00E53BB1" w:rsidRDefault="00B751DC" w:rsidP="006B4F74">
      <w:pPr>
        <w:pStyle w:val="ListParagraph"/>
        <w:numPr>
          <w:ilvl w:val="0"/>
          <w:numId w:val="11"/>
        </w:numPr>
        <w:autoSpaceDE w:val="0"/>
        <w:autoSpaceDN w:val="0"/>
        <w:adjustRightInd w:val="0"/>
        <w:spacing w:after="0"/>
        <w:jc w:val="both"/>
        <w:rPr>
          <w:rFonts w:ascii="Times New Roman" w:hAnsi="Times New Roman" w:cs="Times New Roman"/>
          <w:color w:val="000000"/>
        </w:rPr>
      </w:pPr>
      <w:r w:rsidRPr="00E97346">
        <w:rPr>
          <w:rFonts w:ascii="Times New Roman" w:hAnsi="Times New Roman" w:cs="Times New Roman"/>
          <w:color w:val="000000"/>
        </w:rPr>
        <w:t>Créer des cellules d</w:t>
      </w:r>
      <w:r w:rsidR="00570944">
        <w:rPr>
          <w:rFonts w:ascii="Times New Roman" w:hAnsi="Times New Roman" w:cs="Times New Roman"/>
          <w:color w:val="000000"/>
        </w:rPr>
        <w:t>’</w:t>
      </w:r>
      <w:r w:rsidR="00850E23">
        <w:rPr>
          <w:rFonts w:ascii="Times New Roman" w:hAnsi="Times New Roman" w:cs="Times New Roman"/>
          <w:color w:val="000000"/>
        </w:rPr>
        <w:t xml:space="preserve">écoute et </w:t>
      </w:r>
      <w:r w:rsidRPr="00E97346">
        <w:rPr>
          <w:rFonts w:ascii="Times New Roman" w:hAnsi="Times New Roman" w:cs="Times New Roman"/>
          <w:color w:val="000000"/>
        </w:rPr>
        <w:t>des systèmes d</w:t>
      </w:r>
      <w:r w:rsidR="00570944">
        <w:rPr>
          <w:rFonts w:ascii="Times New Roman" w:hAnsi="Times New Roman" w:cs="Times New Roman"/>
          <w:color w:val="000000"/>
        </w:rPr>
        <w:t>’</w:t>
      </w:r>
      <w:r w:rsidRPr="00E97346">
        <w:rPr>
          <w:rFonts w:ascii="Times New Roman" w:hAnsi="Times New Roman" w:cs="Times New Roman"/>
          <w:color w:val="000000"/>
        </w:rPr>
        <w:t>alerte précoce</w:t>
      </w:r>
      <w:r w:rsidR="00850E23">
        <w:rPr>
          <w:rFonts w:ascii="Times New Roman" w:hAnsi="Times New Roman" w:cs="Times New Roman"/>
          <w:color w:val="000000"/>
        </w:rPr>
        <w:t xml:space="preserve"> ou de </w:t>
      </w:r>
      <w:r w:rsidR="00D24C75">
        <w:rPr>
          <w:rFonts w:ascii="Times New Roman" w:hAnsi="Times New Roman" w:cs="Times New Roman"/>
          <w:color w:val="000000"/>
        </w:rPr>
        <w:t>signalement</w:t>
      </w:r>
      <w:r w:rsidRPr="00E97346">
        <w:rPr>
          <w:rFonts w:ascii="Times New Roman" w:hAnsi="Times New Roman" w:cs="Times New Roman"/>
          <w:color w:val="000000"/>
        </w:rPr>
        <w:t xml:space="preserve"> dans </w:t>
      </w:r>
      <w:r w:rsidR="00E97346">
        <w:rPr>
          <w:rFonts w:ascii="Times New Roman" w:hAnsi="Times New Roman" w:cs="Times New Roman"/>
          <w:color w:val="000000"/>
        </w:rPr>
        <w:t xml:space="preserve">tous les </w:t>
      </w:r>
      <w:r w:rsidR="00E97346" w:rsidRPr="00E97346">
        <w:rPr>
          <w:rFonts w:ascii="Times New Roman" w:hAnsi="Times New Roman" w:cs="Times New Roman"/>
          <w:color w:val="000000"/>
        </w:rPr>
        <w:t xml:space="preserve">établissements </w:t>
      </w:r>
      <w:r w:rsidR="00E97346" w:rsidRPr="00D24C75">
        <w:rPr>
          <w:rFonts w:ascii="Times New Roman" w:hAnsi="Times New Roman" w:cs="Times New Roman"/>
          <w:color w:val="000000"/>
        </w:rPr>
        <w:t xml:space="preserve">scolaires et </w:t>
      </w:r>
      <w:r w:rsidR="00E97346" w:rsidRPr="00E53BB1">
        <w:rPr>
          <w:rFonts w:ascii="Times New Roman" w:hAnsi="Times New Roman" w:cs="Times New Roman"/>
          <w:color w:val="000000"/>
        </w:rPr>
        <w:t xml:space="preserve">universitaires </w:t>
      </w:r>
      <w:r w:rsidRPr="00E53BB1">
        <w:rPr>
          <w:rFonts w:ascii="Times New Roman" w:hAnsi="Times New Roman" w:cs="Times New Roman"/>
          <w:color w:val="000000"/>
        </w:rPr>
        <w:t>pour recevoir les signalements de cas de</w:t>
      </w:r>
      <w:r w:rsidR="00813431">
        <w:rPr>
          <w:rFonts w:ascii="Times New Roman" w:hAnsi="Times New Roman" w:cs="Times New Roman"/>
          <w:color w:val="000000"/>
        </w:rPr>
        <w:t xml:space="preserve"> violence de genre</w:t>
      </w:r>
      <w:r w:rsidRPr="00E53BB1">
        <w:rPr>
          <w:rFonts w:ascii="Times New Roman" w:hAnsi="Times New Roman" w:cs="Times New Roman"/>
          <w:color w:val="000000"/>
        </w:rPr>
        <w:t xml:space="preserve"> </w:t>
      </w:r>
      <w:r w:rsidR="00813431" w:rsidRPr="003C164C">
        <w:rPr>
          <w:rFonts w:ascii="Times New Roman" w:hAnsi="Times New Roman" w:cs="Times New Roman"/>
        </w:rPr>
        <w:t>en milieu scolaire</w:t>
      </w:r>
      <w:r w:rsidR="00813431" w:rsidRPr="00E53BB1">
        <w:rPr>
          <w:rFonts w:ascii="Times New Roman" w:hAnsi="Times New Roman" w:cs="Times New Roman"/>
          <w:color w:val="000000"/>
        </w:rPr>
        <w:t xml:space="preserve"> </w:t>
      </w:r>
      <w:r w:rsidR="00813431">
        <w:rPr>
          <w:rFonts w:ascii="Times New Roman" w:hAnsi="Times New Roman" w:cs="Times New Roman"/>
          <w:color w:val="000000"/>
        </w:rPr>
        <w:t>(</w:t>
      </w:r>
      <w:r w:rsidRPr="00E53BB1">
        <w:rPr>
          <w:rFonts w:ascii="Times New Roman" w:hAnsi="Times New Roman" w:cs="Times New Roman"/>
          <w:color w:val="000000"/>
        </w:rPr>
        <w:t>VGMS</w:t>
      </w:r>
      <w:r w:rsidR="00813431">
        <w:rPr>
          <w:rFonts w:ascii="Times New Roman" w:hAnsi="Times New Roman" w:cs="Times New Roman"/>
          <w:color w:val="000000"/>
        </w:rPr>
        <w:t>)</w:t>
      </w:r>
      <w:r w:rsidR="00E97346" w:rsidRPr="00E53BB1">
        <w:rPr>
          <w:rFonts w:ascii="Times New Roman" w:hAnsi="Times New Roman" w:cs="Times New Roman"/>
          <w:color w:val="000000"/>
        </w:rPr>
        <w:t>, et m</w:t>
      </w:r>
      <w:r w:rsidR="00FB6A02" w:rsidRPr="00E53BB1">
        <w:rPr>
          <w:rFonts w:ascii="Times New Roman" w:hAnsi="Times New Roman" w:cs="Times New Roman"/>
          <w:color w:val="000000"/>
        </w:rPr>
        <w:t>ettre en place des comités sur le genre et les VBG</w:t>
      </w:r>
      <w:r w:rsidR="00BC2255">
        <w:rPr>
          <w:rFonts w:ascii="Times New Roman" w:hAnsi="Times New Roman" w:cs="Times New Roman"/>
          <w:color w:val="000000"/>
        </w:rPr>
        <w:t xml:space="preserve">. </w:t>
      </w:r>
    </w:p>
    <w:p w14:paraId="0648F87C" w14:textId="21A1B272" w:rsidR="00B751DC" w:rsidRPr="00E53BB1" w:rsidRDefault="00D24C75" w:rsidP="006B4F74">
      <w:pPr>
        <w:pStyle w:val="Default"/>
        <w:numPr>
          <w:ilvl w:val="0"/>
          <w:numId w:val="11"/>
        </w:numPr>
        <w:jc w:val="both"/>
        <w:rPr>
          <w:rFonts w:ascii="Times New Roman" w:hAnsi="Times New Roman" w:cs="Times New Roman"/>
          <w:sz w:val="22"/>
          <w:szCs w:val="22"/>
        </w:rPr>
      </w:pPr>
      <w:r w:rsidRPr="00E53BB1">
        <w:rPr>
          <w:rFonts w:ascii="Times New Roman" w:hAnsi="Times New Roman" w:cs="Times New Roman"/>
          <w:sz w:val="22"/>
          <w:szCs w:val="22"/>
        </w:rPr>
        <w:t>Mettre en place les mécanismes d</w:t>
      </w:r>
      <w:r w:rsidR="00570944">
        <w:rPr>
          <w:rFonts w:ascii="Times New Roman" w:hAnsi="Times New Roman" w:cs="Times New Roman"/>
          <w:sz w:val="22"/>
          <w:szCs w:val="22"/>
        </w:rPr>
        <w:t>’</w:t>
      </w:r>
      <w:r w:rsidRPr="00E53BB1">
        <w:rPr>
          <w:rFonts w:ascii="Times New Roman" w:hAnsi="Times New Roman" w:cs="Times New Roman"/>
          <w:sz w:val="22"/>
          <w:szCs w:val="22"/>
        </w:rPr>
        <w:t>accompagnement, de prise en charge et de réparation pour les victimes de VBG ; p</w:t>
      </w:r>
      <w:r w:rsidR="009508B9" w:rsidRPr="00E53BB1">
        <w:rPr>
          <w:rFonts w:ascii="Times New Roman" w:hAnsi="Times New Roman" w:cs="Times New Roman"/>
          <w:sz w:val="22"/>
          <w:szCs w:val="22"/>
        </w:rPr>
        <w:t>rendre en charge les frais de poursuite judicaire</w:t>
      </w:r>
      <w:r w:rsidR="00A51D70" w:rsidRPr="00E53BB1">
        <w:rPr>
          <w:rFonts w:ascii="Times New Roman" w:hAnsi="Times New Roman" w:cs="Times New Roman"/>
          <w:sz w:val="22"/>
          <w:szCs w:val="22"/>
        </w:rPr>
        <w:t> ; i</w:t>
      </w:r>
      <w:r w:rsidR="00B751DC" w:rsidRPr="00E53BB1">
        <w:rPr>
          <w:rFonts w:ascii="Times New Roman" w:hAnsi="Times New Roman" w:cs="Times New Roman"/>
          <w:sz w:val="22"/>
          <w:szCs w:val="22"/>
        </w:rPr>
        <w:t xml:space="preserve">ntégrer les services de soins post-violence, </w:t>
      </w:r>
      <w:r w:rsidR="00716B00">
        <w:rPr>
          <w:rFonts w:ascii="Times New Roman" w:hAnsi="Times New Roman" w:cs="Times New Roman"/>
          <w:sz w:val="22"/>
          <w:szCs w:val="22"/>
        </w:rPr>
        <w:t xml:space="preserve">de </w:t>
      </w:r>
      <w:r w:rsidR="00B751DC" w:rsidRPr="00E53BB1">
        <w:rPr>
          <w:rFonts w:ascii="Times New Roman" w:hAnsi="Times New Roman" w:cs="Times New Roman"/>
          <w:sz w:val="22"/>
          <w:szCs w:val="22"/>
        </w:rPr>
        <w:t xml:space="preserve">santé mentale et </w:t>
      </w:r>
      <w:r w:rsidR="00716B00">
        <w:rPr>
          <w:rFonts w:ascii="Times New Roman" w:hAnsi="Times New Roman" w:cs="Times New Roman"/>
          <w:sz w:val="22"/>
          <w:szCs w:val="22"/>
        </w:rPr>
        <w:t>de</w:t>
      </w:r>
      <w:r w:rsidR="00B751DC" w:rsidRPr="00E53BB1">
        <w:rPr>
          <w:rFonts w:ascii="Times New Roman" w:hAnsi="Times New Roman" w:cs="Times New Roman"/>
          <w:sz w:val="22"/>
          <w:szCs w:val="22"/>
        </w:rPr>
        <w:t xml:space="preserve"> soutien psychosocial dans les services communautaires et les services de proximité destinés aux adolescents et aux jeunes. </w:t>
      </w:r>
    </w:p>
    <w:p w14:paraId="15A56CBB" w14:textId="382D7F90" w:rsidR="00B751DC" w:rsidRDefault="00B751DC">
      <w:pPr>
        <w:pStyle w:val="ListParagraph"/>
        <w:numPr>
          <w:ilvl w:val="0"/>
          <w:numId w:val="11"/>
        </w:numPr>
        <w:spacing w:after="0"/>
        <w:jc w:val="both"/>
        <w:rPr>
          <w:rFonts w:ascii="Times New Roman" w:hAnsi="Times New Roman" w:cs="Times New Roman"/>
          <w:color w:val="000000"/>
        </w:rPr>
      </w:pPr>
      <w:r w:rsidRPr="00E53BB1">
        <w:rPr>
          <w:rFonts w:ascii="Times New Roman" w:hAnsi="Times New Roman" w:cs="Times New Roman"/>
          <w:color w:val="000000"/>
        </w:rPr>
        <w:t>Réaliser</w:t>
      </w:r>
      <w:r w:rsidR="00716B00">
        <w:rPr>
          <w:rFonts w:ascii="Times New Roman" w:hAnsi="Times New Roman"/>
          <w:color w:val="000000"/>
        </w:rPr>
        <w:t xml:space="preserve">, disséminer et </w:t>
      </w:r>
      <w:r w:rsidRPr="00E53BB1">
        <w:rPr>
          <w:rFonts w:ascii="Times New Roman" w:hAnsi="Times New Roman" w:cs="Times New Roman"/>
          <w:color w:val="000000"/>
        </w:rPr>
        <w:t>vulgariser la cartographie des structures</w:t>
      </w:r>
      <w:r w:rsidR="003D7959">
        <w:rPr>
          <w:rFonts w:ascii="Times New Roman" w:hAnsi="Times New Roman" w:cs="Times New Roman"/>
          <w:color w:val="000000"/>
        </w:rPr>
        <w:t xml:space="preserve"> et le circuit</w:t>
      </w:r>
      <w:r w:rsidRPr="00E53BB1">
        <w:rPr>
          <w:rFonts w:ascii="Times New Roman" w:hAnsi="Times New Roman" w:cs="Times New Roman"/>
          <w:color w:val="000000"/>
        </w:rPr>
        <w:t xml:space="preserve"> de prise en charge des victimes de VBG</w:t>
      </w:r>
      <w:r w:rsidR="003D7959">
        <w:rPr>
          <w:rFonts w:ascii="Times New Roman" w:hAnsi="Times New Roman" w:cs="Times New Roman"/>
          <w:color w:val="000000"/>
        </w:rPr>
        <w:t xml:space="preserve"> ; </w:t>
      </w:r>
    </w:p>
    <w:p w14:paraId="2C1A5232" w14:textId="2F8C56DE" w:rsidR="00716B00" w:rsidRDefault="003D7959">
      <w:pPr>
        <w:pStyle w:val="ListParagraph"/>
        <w:numPr>
          <w:ilvl w:val="0"/>
          <w:numId w:val="11"/>
        </w:numPr>
        <w:spacing w:after="0"/>
        <w:jc w:val="both"/>
        <w:rPr>
          <w:rFonts w:ascii="Times New Roman" w:hAnsi="Times New Roman"/>
          <w:color w:val="000000"/>
        </w:rPr>
      </w:pPr>
      <w:r>
        <w:rPr>
          <w:rFonts w:ascii="Times New Roman" w:hAnsi="Times New Roman"/>
          <w:color w:val="000000"/>
        </w:rPr>
        <w:t>Mettre en place un mécanisme national de collecte des données liées aux VBG.</w:t>
      </w:r>
    </w:p>
    <w:p w14:paraId="74B6CA33" w14:textId="77777777" w:rsidR="00A17AF6" w:rsidRPr="000C3687" w:rsidRDefault="00A17AF6">
      <w:pPr>
        <w:pStyle w:val="ListParagraph"/>
        <w:numPr>
          <w:ilvl w:val="0"/>
          <w:numId w:val="11"/>
        </w:numPr>
        <w:jc w:val="both"/>
        <w:rPr>
          <w:rFonts w:ascii="Times New Roman" w:hAnsi="Times New Roman" w:cs="Times New Roman"/>
          <w:color w:val="000000"/>
        </w:rPr>
      </w:pPr>
      <w:r w:rsidRPr="000C3687">
        <w:rPr>
          <w:rFonts w:ascii="Times New Roman" w:hAnsi="Times New Roman" w:cs="Times New Roman"/>
          <w:color w:val="000000"/>
        </w:rPr>
        <w:t xml:space="preserve">Élaborer et mettre en œuvre des politiques qui font des écoles un lieu de tolérance zéro pour les VBG ; </w:t>
      </w:r>
      <w:r>
        <w:rPr>
          <w:rFonts w:ascii="Times New Roman" w:hAnsi="Times New Roman" w:cs="Times New Roman"/>
          <w:color w:val="000000"/>
        </w:rPr>
        <w:t>é</w:t>
      </w:r>
      <w:r w:rsidRPr="000C3687">
        <w:rPr>
          <w:rFonts w:ascii="Times New Roman" w:hAnsi="Times New Roman" w:cs="Times New Roman"/>
          <w:color w:val="000000"/>
        </w:rPr>
        <w:t xml:space="preserve">tablir un cadre pour le suivi, le signalement et la gestion des cas de </w:t>
      </w:r>
      <w:r>
        <w:rPr>
          <w:rFonts w:ascii="Times New Roman" w:hAnsi="Times New Roman" w:cs="Times New Roman"/>
          <w:color w:val="000000"/>
        </w:rPr>
        <w:t>VBG.</w:t>
      </w:r>
    </w:p>
    <w:p w14:paraId="3587A51B" w14:textId="741E6B93" w:rsidR="00A17AF6" w:rsidRPr="00A17AF6" w:rsidRDefault="00A17AF6">
      <w:pPr>
        <w:pStyle w:val="ListParagraph"/>
        <w:numPr>
          <w:ilvl w:val="0"/>
          <w:numId w:val="11"/>
        </w:numPr>
        <w:autoSpaceDE w:val="0"/>
        <w:autoSpaceDN w:val="0"/>
        <w:adjustRightInd w:val="0"/>
        <w:spacing w:after="0"/>
        <w:jc w:val="both"/>
        <w:rPr>
          <w:rFonts w:ascii="Times New Roman" w:hAnsi="Times New Roman" w:cs="Times New Roman"/>
          <w:color w:val="000000"/>
        </w:rPr>
      </w:pPr>
      <w:r w:rsidRPr="00B751DC">
        <w:rPr>
          <w:rFonts w:ascii="Times New Roman" w:hAnsi="Times New Roman" w:cs="Times New Roman"/>
          <w:color w:val="000000"/>
        </w:rPr>
        <w:t>Vulgariser l</w:t>
      </w:r>
      <w:r>
        <w:rPr>
          <w:rFonts w:ascii="Times New Roman" w:hAnsi="Times New Roman" w:cs="Times New Roman"/>
          <w:color w:val="000000"/>
        </w:rPr>
        <w:t>es</w:t>
      </w:r>
      <w:r w:rsidRPr="00B751DC">
        <w:rPr>
          <w:rFonts w:ascii="Times New Roman" w:hAnsi="Times New Roman" w:cs="Times New Roman"/>
          <w:color w:val="000000"/>
        </w:rPr>
        <w:t xml:space="preserve"> code</w:t>
      </w:r>
      <w:r>
        <w:rPr>
          <w:rFonts w:ascii="Times New Roman" w:hAnsi="Times New Roman" w:cs="Times New Roman"/>
          <w:color w:val="000000"/>
        </w:rPr>
        <w:t>s</w:t>
      </w:r>
      <w:r w:rsidRPr="00B751DC">
        <w:rPr>
          <w:rFonts w:ascii="Times New Roman" w:hAnsi="Times New Roman" w:cs="Times New Roman"/>
          <w:color w:val="000000"/>
        </w:rPr>
        <w:t xml:space="preserve"> de bonne conduite de</w:t>
      </w:r>
      <w:r>
        <w:rPr>
          <w:rFonts w:ascii="Times New Roman" w:hAnsi="Times New Roman" w:cs="Times New Roman"/>
          <w:color w:val="000000"/>
        </w:rPr>
        <w:t xml:space="preserve">s </w:t>
      </w:r>
      <w:r w:rsidRPr="00B751DC">
        <w:rPr>
          <w:rFonts w:ascii="Times New Roman" w:hAnsi="Times New Roman" w:cs="Times New Roman"/>
          <w:color w:val="000000"/>
        </w:rPr>
        <w:t>enseignant</w:t>
      </w:r>
      <w:r>
        <w:rPr>
          <w:rFonts w:ascii="Times New Roman" w:hAnsi="Times New Roman" w:cs="Times New Roman"/>
          <w:color w:val="000000"/>
        </w:rPr>
        <w:t>s</w:t>
      </w:r>
      <w:r w:rsidRPr="00B751DC">
        <w:rPr>
          <w:rFonts w:ascii="Times New Roman" w:hAnsi="Times New Roman" w:cs="Times New Roman"/>
          <w:color w:val="000000"/>
        </w:rPr>
        <w:t xml:space="preserve"> et en assurer le strict respect</w:t>
      </w:r>
      <w:r>
        <w:rPr>
          <w:rFonts w:ascii="Times New Roman" w:hAnsi="Times New Roman" w:cs="Times New Roman"/>
          <w:color w:val="000000"/>
        </w:rPr>
        <w:t>.</w:t>
      </w:r>
    </w:p>
    <w:p w14:paraId="593D88F6" w14:textId="2493166E" w:rsidR="00EC7B65" w:rsidRDefault="00EC7B65">
      <w:pPr>
        <w:jc w:val="both"/>
      </w:pPr>
    </w:p>
    <w:p w14:paraId="39D04A82" w14:textId="7A9517BE" w:rsidR="00EC7B65" w:rsidRPr="00EC7B65" w:rsidRDefault="00EC7B65">
      <w:pPr>
        <w:spacing w:after="120"/>
        <w:jc w:val="both"/>
        <w:rPr>
          <w:rFonts w:ascii="Times New Roman" w:hAnsi="Times New Roman" w:cs="Times New Roman"/>
          <w:b/>
          <w:bCs/>
          <w:i/>
        </w:rPr>
      </w:pPr>
      <w:r w:rsidRPr="00EC7B65">
        <w:rPr>
          <w:rFonts w:ascii="Times New Roman" w:hAnsi="Times New Roman" w:cs="Times New Roman"/>
          <w:b/>
          <w:bCs/>
          <w:i/>
        </w:rPr>
        <w:t xml:space="preserve">Sensibilisation et renforcement des capacités </w:t>
      </w:r>
    </w:p>
    <w:p w14:paraId="632F9036" w14:textId="0D320037" w:rsidR="0046626A" w:rsidRPr="00006306" w:rsidRDefault="0046626A">
      <w:pPr>
        <w:pStyle w:val="ListParagraph"/>
        <w:numPr>
          <w:ilvl w:val="0"/>
          <w:numId w:val="11"/>
        </w:numPr>
        <w:jc w:val="both"/>
        <w:rPr>
          <w:rFonts w:ascii="Times New Roman" w:hAnsi="Times New Roman" w:cs="Times New Roman"/>
          <w:color w:val="000000"/>
        </w:rPr>
      </w:pPr>
      <w:r>
        <w:rPr>
          <w:rFonts w:ascii="Times New Roman" w:hAnsi="Times New Roman" w:cs="Times New Roman"/>
          <w:color w:val="000000"/>
        </w:rPr>
        <w:t xml:space="preserve">Renforcer la mobilisation communautaire – notamment </w:t>
      </w:r>
      <w:r w:rsidRPr="00006306">
        <w:rPr>
          <w:rFonts w:ascii="Times New Roman" w:hAnsi="Times New Roman" w:cs="Times New Roman"/>
          <w:color w:val="000000"/>
        </w:rPr>
        <w:t>par le biais d</w:t>
      </w:r>
      <w:r w:rsidR="00570944">
        <w:rPr>
          <w:rFonts w:ascii="Times New Roman" w:hAnsi="Times New Roman" w:cs="Times New Roman"/>
          <w:color w:val="000000"/>
        </w:rPr>
        <w:t>’</w:t>
      </w:r>
      <w:r w:rsidRPr="00006306">
        <w:rPr>
          <w:rFonts w:ascii="Times New Roman" w:hAnsi="Times New Roman" w:cs="Times New Roman"/>
          <w:color w:val="000000"/>
        </w:rPr>
        <w:t>émissions de radio</w:t>
      </w:r>
      <w:r>
        <w:rPr>
          <w:rFonts w:ascii="Times New Roman" w:hAnsi="Times New Roman" w:cs="Times New Roman"/>
          <w:color w:val="000000"/>
        </w:rPr>
        <w:t xml:space="preserve"> et</w:t>
      </w:r>
      <w:r w:rsidRPr="00006306">
        <w:rPr>
          <w:rFonts w:ascii="Times New Roman" w:hAnsi="Times New Roman" w:cs="Times New Roman"/>
          <w:color w:val="000000"/>
        </w:rPr>
        <w:t xml:space="preserve"> de réunions publiques </w:t>
      </w:r>
      <w:r w:rsidR="00EC58F1">
        <w:rPr>
          <w:rFonts w:ascii="Times New Roman" w:hAnsi="Times New Roman" w:cs="Times New Roman"/>
          <w:color w:val="000000"/>
        </w:rPr>
        <w:t xml:space="preserve">– des </w:t>
      </w:r>
      <w:r w:rsidRPr="00006306">
        <w:rPr>
          <w:rFonts w:ascii="Times New Roman" w:hAnsi="Times New Roman" w:cs="Times New Roman"/>
          <w:color w:val="000000"/>
        </w:rPr>
        <w:t xml:space="preserve">parents, </w:t>
      </w:r>
      <w:r w:rsidR="00227796">
        <w:rPr>
          <w:rFonts w:ascii="Times New Roman" w:hAnsi="Times New Roman"/>
          <w:color w:val="000000"/>
        </w:rPr>
        <w:t>des leaders</w:t>
      </w:r>
      <w:r w:rsidRPr="00006306">
        <w:rPr>
          <w:rFonts w:ascii="Times New Roman" w:hAnsi="Times New Roman" w:cs="Times New Roman"/>
          <w:color w:val="000000"/>
        </w:rPr>
        <w:t xml:space="preserve"> </w:t>
      </w:r>
      <w:r w:rsidR="00227796">
        <w:rPr>
          <w:rFonts w:ascii="Times New Roman" w:hAnsi="Times New Roman"/>
          <w:color w:val="000000"/>
        </w:rPr>
        <w:t>traditionnels</w:t>
      </w:r>
      <w:r w:rsidRPr="00006306">
        <w:rPr>
          <w:rFonts w:ascii="Times New Roman" w:hAnsi="Times New Roman" w:cs="Times New Roman"/>
          <w:color w:val="000000"/>
        </w:rPr>
        <w:t xml:space="preserve"> et religieux, </w:t>
      </w:r>
      <w:r w:rsidR="00227796">
        <w:rPr>
          <w:rFonts w:ascii="Times New Roman" w:hAnsi="Times New Roman"/>
          <w:color w:val="000000"/>
        </w:rPr>
        <w:t xml:space="preserve">des </w:t>
      </w:r>
      <w:r w:rsidRPr="00006306">
        <w:rPr>
          <w:rFonts w:ascii="Times New Roman" w:hAnsi="Times New Roman" w:cs="Times New Roman"/>
          <w:color w:val="000000"/>
        </w:rPr>
        <w:t xml:space="preserve">associations locales, et </w:t>
      </w:r>
      <w:r w:rsidR="00227796">
        <w:rPr>
          <w:rFonts w:ascii="Times New Roman" w:hAnsi="Times New Roman"/>
          <w:color w:val="000000"/>
        </w:rPr>
        <w:t xml:space="preserve">des </w:t>
      </w:r>
      <w:r w:rsidRPr="00006306">
        <w:rPr>
          <w:rFonts w:ascii="Times New Roman" w:hAnsi="Times New Roman" w:cs="Times New Roman"/>
          <w:color w:val="000000"/>
        </w:rPr>
        <w:t xml:space="preserve">habitants de la communauté sur les conséquences </w:t>
      </w:r>
      <w:r>
        <w:rPr>
          <w:rFonts w:ascii="Times New Roman" w:hAnsi="Times New Roman" w:cs="Times New Roman"/>
          <w:color w:val="000000"/>
        </w:rPr>
        <w:t>des VBG et des pratiques</w:t>
      </w:r>
      <w:r>
        <w:rPr>
          <w:rFonts w:ascii="Times New Roman" w:hAnsi="Times New Roman"/>
          <w:color w:val="000000"/>
        </w:rPr>
        <w:t xml:space="preserve"> </w:t>
      </w:r>
      <w:r>
        <w:rPr>
          <w:rFonts w:ascii="Times New Roman" w:hAnsi="Times New Roman" w:cs="Times New Roman"/>
          <w:color w:val="000000"/>
        </w:rPr>
        <w:t xml:space="preserve">préjudiciables (telles que le </w:t>
      </w:r>
      <w:r w:rsidRPr="00006306">
        <w:rPr>
          <w:rFonts w:ascii="Times New Roman" w:hAnsi="Times New Roman" w:cs="Times New Roman"/>
          <w:color w:val="000000"/>
        </w:rPr>
        <w:t xml:space="preserve">mariage </w:t>
      </w:r>
      <w:r>
        <w:rPr>
          <w:rFonts w:ascii="Times New Roman" w:hAnsi="Times New Roman" w:cs="Times New Roman"/>
          <w:color w:val="000000"/>
        </w:rPr>
        <w:t xml:space="preserve">et les </w:t>
      </w:r>
      <w:r w:rsidR="00813431">
        <w:rPr>
          <w:rFonts w:ascii="Times New Roman" w:hAnsi="Times New Roman" w:cs="Times New Roman"/>
          <w:color w:val="000000"/>
        </w:rPr>
        <w:t>mutilations génitales féminines</w:t>
      </w:r>
      <w:r>
        <w:rPr>
          <w:rFonts w:ascii="Times New Roman" w:hAnsi="Times New Roman" w:cs="Times New Roman"/>
          <w:color w:val="000000"/>
        </w:rPr>
        <w:t>)</w:t>
      </w:r>
      <w:r w:rsidR="00EC58F1">
        <w:rPr>
          <w:rFonts w:ascii="Times New Roman" w:hAnsi="Times New Roman" w:cs="Times New Roman"/>
          <w:color w:val="000000"/>
        </w:rPr>
        <w:t> ; t</w:t>
      </w:r>
      <w:r>
        <w:rPr>
          <w:rFonts w:ascii="Times New Roman" w:hAnsi="Times New Roman" w:cs="Times New Roman"/>
          <w:color w:val="000000"/>
        </w:rPr>
        <w:t>irer profit de l</w:t>
      </w:r>
      <w:r w:rsidR="00570944">
        <w:rPr>
          <w:rFonts w:ascii="Times New Roman" w:hAnsi="Times New Roman" w:cs="Times New Roman"/>
          <w:color w:val="000000"/>
        </w:rPr>
        <w:t>’</w:t>
      </w:r>
      <w:r>
        <w:rPr>
          <w:rFonts w:ascii="Times New Roman" w:hAnsi="Times New Roman" w:cs="Times New Roman"/>
          <w:color w:val="000000"/>
        </w:rPr>
        <w:t xml:space="preserve">engagement de </w:t>
      </w:r>
      <w:r w:rsidR="00EC58F1">
        <w:rPr>
          <w:rFonts w:ascii="Times New Roman" w:hAnsi="Times New Roman" w:cs="Times New Roman"/>
          <w:color w:val="000000"/>
        </w:rPr>
        <w:t>toutes l</w:t>
      </w:r>
      <w:r>
        <w:rPr>
          <w:rFonts w:ascii="Times New Roman" w:hAnsi="Times New Roman" w:cs="Times New Roman"/>
          <w:color w:val="000000"/>
        </w:rPr>
        <w:t xml:space="preserve">es parties prenantes. </w:t>
      </w:r>
    </w:p>
    <w:p w14:paraId="69C7B432" w14:textId="02CDED82" w:rsidR="00F31611" w:rsidRPr="00FB6A02" w:rsidRDefault="00206284" w:rsidP="006B4F74">
      <w:pPr>
        <w:pStyle w:val="ListParagraph"/>
        <w:numPr>
          <w:ilvl w:val="0"/>
          <w:numId w:val="11"/>
        </w:numPr>
        <w:jc w:val="both"/>
        <w:rPr>
          <w:rFonts w:ascii="Times New Roman" w:hAnsi="Times New Roman" w:cs="Times New Roman"/>
          <w:color w:val="000000"/>
        </w:rPr>
      </w:pPr>
      <w:r w:rsidRPr="000C3687">
        <w:rPr>
          <w:rFonts w:ascii="Times New Roman" w:hAnsi="Times New Roman" w:cs="Times New Roman"/>
          <w:color w:val="000000"/>
        </w:rPr>
        <w:t xml:space="preserve">Intégrer les notions de genre et de </w:t>
      </w:r>
      <w:r>
        <w:rPr>
          <w:rFonts w:ascii="Times New Roman" w:hAnsi="Times New Roman" w:cs="Times New Roman"/>
          <w:color w:val="000000"/>
        </w:rPr>
        <w:t>VBG</w:t>
      </w:r>
      <w:r w:rsidRPr="000C3687">
        <w:rPr>
          <w:rFonts w:ascii="Times New Roman" w:hAnsi="Times New Roman" w:cs="Times New Roman"/>
          <w:color w:val="000000"/>
        </w:rPr>
        <w:t xml:space="preserve"> en milieu scolaire dans les curricula depuis l</w:t>
      </w:r>
      <w:r>
        <w:rPr>
          <w:rFonts w:ascii="Times New Roman" w:hAnsi="Times New Roman" w:cs="Times New Roman"/>
          <w:color w:val="000000"/>
        </w:rPr>
        <w:t>’</w:t>
      </w:r>
      <w:r w:rsidRPr="000C3687">
        <w:rPr>
          <w:rFonts w:ascii="Times New Roman" w:hAnsi="Times New Roman" w:cs="Times New Roman"/>
          <w:color w:val="000000"/>
        </w:rPr>
        <w:t>école primaire jusqu</w:t>
      </w:r>
      <w:r>
        <w:rPr>
          <w:rFonts w:ascii="Times New Roman" w:hAnsi="Times New Roman" w:cs="Times New Roman"/>
          <w:color w:val="000000"/>
        </w:rPr>
        <w:t>’</w:t>
      </w:r>
      <w:r w:rsidRPr="000C3687">
        <w:rPr>
          <w:rFonts w:ascii="Times New Roman" w:hAnsi="Times New Roman" w:cs="Times New Roman"/>
          <w:color w:val="000000"/>
        </w:rPr>
        <w:t>à l</w:t>
      </w:r>
      <w:r>
        <w:rPr>
          <w:rFonts w:ascii="Times New Roman" w:hAnsi="Times New Roman" w:cs="Times New Roman"/>
          <w:color w:val="000000"/>
        </w:rPr>
        <w:t>’</w:t>
      </w:r>
      <w:r w:rsidRPr="000C3687">
        <w:rPr>
          <w:rFonts w:ascii="Times New Roman" w:hAnsi="Times New Roman" w:cs="Times New Roman"/>
          <w:color w:val="000000"/>
        </w:rPr>
        <w:t>université</w:t>
      </w:r>
      <w:r>
        <w:rPr>
          <w:rFonts w:ascii="Times New Roman" w:hAnsi="Times New Roman" w:cs="Times New Roman"/>
          <w:color w:val="000000"/>
        </w:rPr>
        <w:t xml:space="preserve"> ; inclure les VBG dans les programmes d’IEC, et dans </w:t>
      </w:r>
      <w:r w:rsidR="00F31611" w:rsidRPr="00B751DC">
        <w:rPr>
          <w:rFonts w:ascii="Times New Roman" w:hAnsi="Times New Roman" w:cs="Times New Roman"/>
          <w:color w:val="000000"/>
        </w:rPr>
        <w:t>la communication sur le changement de</w:t>
      </w:r>
      <w:r>
        <w:rPr>
          <w:rFonts w:ascii="Times New Roman" w:hAnsi="Times New Roman" w:cs="Times New Roman"/>
          <w:color w:val="000000"/>
        </w:rPr>
        <w:t xml:space="preserve"> comportement social auprès des adolescents et des jeunes, des </w:t>
      </w:r>
      <w:r w:rsidR="00F31611" w:rsidRPr="00B751DC">
        <w:rPr>
          <w:rFonts w:ascii="Times New Roman" w:hAnsi="Times New Roman" w:cs="Times New Roman"/>
          <w:color w:val="000000"/>
        </w:rPr>
        <w:t xml:space="preserve">parents et des </w:t>
      </w:r>
      <w:r w:rsidR="00604971">
        <w:rPr>
          <w:rFonts w:ascii="Times New Roman" w:hAnsi="Times New Roman"/>
          <w:color w:val="000000"/>
        </w:rPr>
        <w:t xml:space="preserve">leaders </w:t>
      </w:r>
      <w:r w:rsidR="00F31611" w:rsidRPr="00B751DC">
        <w:rPr>
          <w:rFonts w:ascii="Times New Roman" w:hAnsi="Times New Roman" w:cs="Times New Roman"/>
          <w:color w:val="000000"/>
        </w:rPr>
        <w:t>communautaires afin de créer un environnement favorab</w:t>
      </w:r>
      <w:r>
        <w:rPr>
          <w:rFonts w:ascii="Times New Roman" w:hAnsi="Times New Roman" w:cs="Times New Roman"/>
          <w:color w:val="000000"/>
        </w:rPr>
        <w:t>le pour y répondre</w:t>
      </w:r>
      <w:r w:rsidR="00F31611">
        <w:rPr>
          <w:rFonts w:ascii="Times New Roman" w:hAnsi="Times New Roman" w:cs="Times New Roman"/>
          <w:color w:val="000000"/>
        </w:rPr>
        <w:t> ; i</w:t>
      </w:r>
      <w:r w:rsidR="00F31611" w:rsidRPr="00FB6A02">
        <w:rPr>
          <w:rFonts w:ascii="Times New Roman" w:hAnsi="Times New Roman" w:cs="Times New Roman"/>
          <w:color w:val="000000"/>
        </w:rPr>
        <w:t xml:space="preserve">mpliquer les médias dans </w:t>
      </w:r>
      <w:r w:rsidR="00F31611">
        <w:rPr>
          <w:rFonts w:ascii="Times New Roman" w:hAnsi="Times New Roman" w:cs="Times New Roman"/>
          <w:color w:val="000000"/>
        </w:rPr>
        <w:t>c</w:t>
      </w:r>
      <w:r w:rsidR="00F31611" w:rsidRPr="00FB6A02">
        <w:rPr>
          <w:rFonts w:ascii="Times New Roman" w:hAnsi="Times New Roman" w:cs="Times New Roman"/>
          <w:color w:val="000000"/>
        </w:rPr>
        <w:t xml:space="preserve">es stratégies </w:t>
      </w:r>
      <w:r w:rsidR="00F31611">
        <w:rPr>
          <w:rFonts w:ascii="Times New Roman" w:hAnsi="Times New Roman" w:cs="Times New Roman"/>
          <w:color w:val="000000"/>
        </w:rPr>
        <w:t>de</w:t>
      </w:r>
      <w:r w:rsidR="00F31611" w:rsidRPr="00FB6A02">
        <w:rPr>
          <w:rFonts w:ascii="Times New Roman" w:hAnsi="Times New Roman" w:cs="Times New Roman"/>
          <w:color w:val="000000"/>
        </w:rPr>
        <w:t xml:space="preserve"> communication</w:t>
      </w:r>
      <w:r w:rsidR="00F31611">
        <w:rPr>
          <w:rFonts w:ascii="Times New Roman" w:hAnsi="Times New Roman" w:cs="Times New Roman"/>
          <w:color w:val="000000"/>
        </w:rPr>
        <w:t>.</w:t>
      </w:r>
    </w:p>
    <w:p w14:paraId="251C6764" w14:textId="39463176" w:rsidR="00EC7B65" w:rsidRPr="00206284" w:rsidRDefault="00B751DC" w:rsidP="00206284">
      <w:pPr>
        <w:pStyle w:val="ListParagraph"/>
        <w:numPr>
          <w:ilvl w:val="0"/>
          <w:numId w:val="11"/>
        </w:numPr>
        <w:jc w:val="both"/>
        <w:rPr>
          <w:rFonts w:ascii="Times New Roman" w:hAnsi="Times New Roman" w:cs="Times New Roman"/>
          <w:color w:val="000000"/>
        </w:rPr>
      </w:pPr>
      <w:r w:rsidRPr="00B751DC">
        <w:rPr>
          <w:rFonts w:ascii="Times New Roman" w:hAnsi="Times New Roman" w:cs="Times New Roman"/>
          <w:color w:val="000000"/>
        </w:rPr>
        <w:t xml:space="preserve">Renforcer la capacité des autorités scolaires, des communautés, des parents et des élèves à prévenir, réagir, gérer et signaler les cas de </w:t>
      </w:r>
      <w:r>
        <w:rPr>
          <w:rFonts w:ascii="Times New Roman" w:hAnsi="Times New Roman" w:cs="Times New Roman"/>
          <w:color w:val="000000"/>
        </w:rPr>
        <w:t>VGMS</w:t>
      </w:r>
      <w:r w:rsidRPr="00B751DC">
        <w:rPr>
          <w:rFonts w:ascii="Times New Roman" w:hAnsi="Times New Roman" w:cs="Times New Roman"/>
          <w:color w:val="000000"/>
        </w:rPr>
        <w:t>.</w:t>
      </w:r>
    </w:p>
    <w:p w14:paraId="6893EA8F" w14:textId="77777777" w:rsidR="007501FF" w:rsidRPr="00006306" w:rsidRDefault="007501FF" w:rsidP="006B4F74">
      <w:pPr>
        <w:pStyle w:val="ListParagraph"/>
        <w:numPr>
          <w:ilvl w:val="0"/>
          <w:numId w:val="11"/>
        </w:numPr>
        <w:jc w:val="both"/>
        <w:rPr>
          <w:rFonts w:ascii="Times New Roman" w:hAnsi="Times New Roman" w:cs="Times New Roman"/>
          <w:color w:val="000000"/>
        </w:rPr>
      </w:pPr>
      <w:r>
        <w:rPr>
          <w:rFonts w:ascii="Times New Roman" w:hAnsi="Times New Roman" w:cs="Times New Roman"/>
          <w:color w:val="000000"/>
        </w:rPr>
        <w:t xml:space="preserve">Former </w:t>
      </w:r>
      <w:r w:rsidRPr="0011735C">
        <w:rPr>
          <w:rFonts w:ascii="Times New Roman" w:hAnsi="Times New Roman" w:cs="Times New Roman"/>
          <w:color w:val="000000"/>
        </w:rPr>
        <w:t xml:space="preserve">les enseignants </w:t>
      </w:r>
      <w:r>
        <w:rPr>
          <w:rFonts w:ascii="Times New Roman" w:hAnsi="Times New Roman" w:cs="Times New Roman"/>
          <w:color w:val="000000"/>
        </w:rPr>
        <w:t>à</w:t>
      </w:r>
      <w:r w:rsidRPr="0011735C">
        <w:rPr>
          <w:rFonts w:ascii="Times New Roman" w:hAnsi="Times New Roman" w:cs="Times New Roman"/>
          <w:color w:val="000000"/>
        </w:rPr>
        <w:t xml:space="preserve"> la prévention des </w:t>
      </w:r>
      <w:r>
        <w:rPr>
          <w:rFonts w:ascii="Times New Roman" w:hAnsi="Times New Roman" w:cs="Times New Roman"/>
          <w:color w:val="000000"/>
        </w:rPr>
        <w:t xml:space="preserve">VGMS : développer et disséminer des </w:t>
      </w:r>
      <w:r w:rsidRPr="00DA3196">
        <w:rPr>
          <w:rFonts w:ascii="Times New Roman" w:hAnsi="Times New Roman" w:cs="Times New Roman"/>
          <w:color w:val="000000"/>
        </w:rPr>
        <w:t xml:space="preserve">modules de formation des enseignants </w:t>
      </w:r>
      <w:r>
        <w:rPr>
          <w:rFonts w:ascii="Times New Roman" w:hAnsi="Times New Roman" w:cs="Times New Roman"/>
          <w:color w:val="000000"/>
        </w:rPr>
        <w:t xml:space="preserve">et des guides portant sur les VGMS. </w:t>
      </w:r>
    </w:p>
    <w:p w14:paraId="2931538D" w14:textId="32740C17" w:rsidR="00FB6A02" w:rsidRPr="00FB6A02" w:rsidRDefault="00FB6A02" w:rsidP="006B4F74">
      <w:pPr>
        <w:pStyle w:val="ListParagraph"/>
        <w:numPr>
          <w:ilvl w:val="0"/>
          <w:numId w:val="11"/>
        </w:numPr>
        <w:jc w:val="both"/>
        <w:rPr>
          <w:rFonts w:ascii="Times New Roman" w:hAnsi="Times New Roman" w:cs="Times New Roman"/>
          <w:color w:val="000000"/>
        </w:rPr>
      </w:pPr>
      <w:r w:rsidRPr="00FB6A02">
        <w:rPr>
          <w:rFonts w:ascii="Times New Roman" w:hAnsi="Times New Roman" w:cs="Times New Roman"/>
          <w:color w:val="000000"/>
        </w:rPr>
        <w:t>Renforcer les capacités des</w:t>
      </w:r>
      <w:r>
        <w:rPr>
          <w:rFonts w:ascii="Times New Roman" w:hAnsi="Times New Roman" w:cs="Times New Roman"/>
          <w:color w:val="000000"/>
        </w:rPr>
        <w:t xml:space="preserve"> cellules et</w:t>
      </w:r>
      <w:r w:rsidRPr="00FB6A02">
        <w:rPr>
          <w:rFonts w:ascii="Times New Roman" w:hAnsi="Times New Roman" w:cs="Times New Roman"/>
          <w:color w:val="000000"/>
        </w:rPr>
        <w:t xml:space="preserve"> </w:t>
      </w:r>
      <w:r>
        <w:rPr>
          <w:rFonts w:ascii="Times New Roman" w:hAnsi="Times New Roman" w:cs="Times New Roman"/>
          <w:color w:val="000000"/>
        </w:rPr>
        <w:t>points focaux genre</w:t>
      </w:r>
      <w:r w:rsidRPr="00FB6A02">
        <w:rPr>
          <w:rFonts w:ascii="Times New Roman" w:hAnsi="Times New Roman" w:cs="Times New Roman"/>
          <w:color w:val="000000"/>
        </w:rPr>
        <w:t xml:space="preserve"> sur les questions des </w:t>
      </w:r>
      <w:r>
        <w:rPr>
          <w:rFonts w:ascii="Times New Roman" w:hAnsi="Times New Roman" w:cs="Times New Roman"/>
          <w:color w:val="000000"/>
        </w:rPr>
        <w:t>VGMS</w:t>
      </w:r>
      <w:r w:rsidRPr="00FB6A02">
        <w:rPr>
          <w:rFonts w:ascii="Times New Roman" w:hAnsi="Times New Roman" w:cs="Times New Roman"/>
          <w:color w:val="000000"/>
        </w:rPr>
        <w:t xml:space="preserve">. </w:t>
      </w:r>
    </w:p>
    <w:p w14:paraId="4904F230" w14:textId="1403079F" w:rsidR="00006306" w:rsidRPr="00006306" w:rsidRDefault="00006306" w:rsidP="006B4F74">
      <w:pPr>
        <w:pStyle w:val="ListParagraph"/>
        <w:numPr>
          <w:ilvl w:val="0"/>
          <w:numId w:val="11"/>
        </w:numPr>
        <w:jc w:val="both"/>
        <w:rPr>
          <w:rFonts w:ascii="Times New Roman" w:hAnsi="Times New Roman" w:cs="Times New Roman"/>
          <w:color w:val="000000"/>
        </w:rPr>
      </w:pPr>
      <w:r w:rsidRPr="00006306">
        <w:rPr>
          <w:rFonts w:ascii="Times New Roman" w:hAnsi="Times New Roman" w:cs="Times New Roman"/>
          <w:color w:val="000000"/>
        </w:rPr>
        <w:t>Améliorer l</w:t>
      </w:r>
      <w:r w:rsidR="00570944">
        <w:rPr>
          <w:rFonts w:ascii="Times New Roman" w:hAnsi="Times New Roman" w:cs="Times New Roman"/>
          <w:color w:val="000000"/>
        </w:rPr>
        <w:t>’</w:t>
      </w:r>
      <w:r w:rsidRPr="00006306">
        <w:rPr>
          <w:rFonts w:ascii="Times New Roman" w:hAnsi="Times New Roman" w:cs="Times New Roman"/>
          <w:color w:val="000000"/>
        </w:rPr>
        <w:t>appui financier des acteurs œuvrant dans la lutte contre les VBG</w:t>
      </w:r>
      <w:r w:rsidR="000C3687">
        <w:rPr>
          <w:rFonts w:ascii="Times New Roman" w:hAnsi="Times New Roman" w:cs="Times New Roman"/>
          <w:color w:val="000000"/>
        </w:rPr>
        <w:t>.</w:t>
      </w:r>
      <w:r w:rsidRPr="00006306">
        <w:rPr>
          <w:rFonts w:ascii="Times New Roman" w:hAnsi="Times New Roman" w:cs="Times New Roman"/>
          <w:color w:val="000000"/>
        </w:rPr>
        <w:t xml:space="preserve"> </w:t>
      </w:r>
    </w:p>
    <w:p w14:paraId="10DD5677" w14:textId="760E770C" w:rsidR="00282DDD" w:rsidRPr="00206284" w:rsidRDefault="00006306" w:rsidP="00206284">
      <w:pPr>
        <w:pStyle w:val="ListParagraph"/>
        <w:numPr>
          <w:ilvl w:val="0"/>
          <w:numId w:val="11"/>
        </w:numPr>
        <w:jc w:val="both"/>
        <w:rPr>
          <w:rFonts w:ascii="Times New Roman" w:hAnsi="Times New Roman" w:cs="Times New Roman"/>
          <w:color w:val="000000"/>
        </w:rPr>
      </w:pPr>
      <w:r w:rsidRPr="00006306">
        <w:rPr>
          <w:rFonts w:ascii="Times New Roman" w:hAnsi="Times New Roman" w:cs="Times New Roman"/>
          <w:color w:val="000000"/>
        </w:rPr>
        <w:t>Développer des programmes durables de réduction de la pauvreté pour les territoires concernés par les pratiques préjudiciables telles que mariage des enfants et les MGF.</w:t>
      </w:r>
    </w:p>
    <w:p w14:paraId="50A6FD8B" w14:textId="77777777" w:rsidR="00282DDD" w:rsidRDefault="00282DDD">
      <w:pPr>
        <w:spacing w:after="120"/>
        <w:jc w:val="both"/>
        <w:rPr>
          <w:rFonts w:ascii="Times New Roman" w:hAnsi="Times New Roman" w:cs="Times New Roman"/>
          <w:b/>
          <w:bCs/>
          <w:i/>
        </w:rPr>
      </w:pPr>
    </w:p>
    <w:p w14:paraId="5CB5B41C" w14:textId="164ADA57" w:rsidR="00EC7B65" w:rsidRPr="00F65F1B" w:rsidRDefault="00EC7B65">
      <w:pPr>
        <w:spacing w:after="120"/>
        <w:jc w:val="both"/>
        <w:rPr>
          <w:rFonts w:ascii="Times New Roman" w:hAnsi="Times New Roman" w:cs="Times New Roman"/>
          <w:b/>
          <w:bCs/>
          <w:i/>
        </w:rPr>
      </w:pPr>
      <w:r>
        <w:rPr>
          <w:rFonts w:ascii="Times New Roman" w:hAnsi="Times New Roman" w:cs="Times New Roman"/>
          <w:b/>
          <w:bCs/>
          <w:i/>
        </w:rPr>
        <w:t xml:space="preserve">Renforcer le cadre juridique </w:t>
      </w:r>
      <w:r w:rsidR="00280B25">
        <w:rPr>
          <w:rFonts w:ascii="Times New Roman" w:hAnsi="Times New Roman" w:cs="Times New Roman"/>
          <w:b/>
          <w:bCs/>
          <w:i/>
        </w:rPr>
        <w:t>et règlementaire</w:t>
      </w:r>
    </w:p>
    <w:p w14:paraId="54BAE359" w14:textId="20BDBCCF" w:rsidR="00B751DC" w:rsidRPr="00B751DC" w:rsidRDefault="00B751DC">
      <w:pPr>
        <w:pStyle w:val="ListParagraph"/>
        <w:numPr>
          <w:ilvl w:val="0"/>
          <w:numId w:val="11"/>
        </w:numPr>
        <w:jc w:val="both"/>
        <w:rPr>
          <w:rFonts w:ascii="Times New Roman" w:hAnsi="Times New Roman" w:cs="Times New Roman"/>
          <w:color w:val="000000"/>
        </w:rPr>
      </w:pPr>
      <w:r w:rsidRPr="00B751DC">
        <w:rPr>
          <w:rFonts w:ascii="Times New Roman" w:hAnsi="Times New Roman" w:cs="Times New Roman"/>
          <w:color w:val="000000"/>
        </w:rPr>
        <w:t xml:space="preserve">Harmoniser les différents cadres juridiques qui </w:t>
      </w:r>
      <w:r>
        <w:rPr>
          <w:rFonts w:ascii="Times New Roman" w:hAnsi="Times New Roman" w:cs="Times New Roman"/>
          <w:color w:val="000000"/>
        </w:rPr>
        <w:t>traitent</w:t>
      </w:r>
      <w:r w:rsidRPr="00B751DC">
        <w:rPr>
          <w:rFonts w:ascii="Times New Roman" w:hAnsi="Times New Roman" w:cs="Times New Roman"/>
          <w:color w:val="000000"/>
        </w:rPr>
        <w:t xml:space="preserve"> en parallèle </w:t>
      </w:r>
      <w:r>
        <w:rPr>
          <w:rFonts w:ascii="Times New Roman" w:hAnsi="Times New Roman" w:cs="Times New Roman"/>
          <w:color w:val="000000"/>
        </w:rPr>
        <w:t>des</w:t>
      </w:r>
      <w:r w:rsidRPr="00B751DC">
        <w:rPr>
          <w:rFonts w:ascii="Times New Roman" w:hAnsi="Times New Roman" w:cs="Times New Roman"/>
          <w:color w:val="000000"/>
        </w:rPr>
        <w:t xml:space="preserve"> questions de genre et de </w:t>
      </w:r>
      <w:r>
        <w:rPr>
          <w:rFonts w:ascii="Times New Roman" w:hAnsi="Times New Roman" w:cs="Times New Roman"/>
          <w:color w:val="000000"/>
        </w:rPr>
        <w:t>V</w:t>
      </w:r>
      <w:r w:rsidR="000D2006">
        <w:rPr>
          <w:rFonts w:ascii="Times New Roman" w:hAnsi="Times New Roman" w:cs="Times New Roman"/>
          <w:color w:val="000000"/>
        </w:rPr>
        <w:t>BG</w:t>
      </w:r>
      <w:r w:rsidRPr="00B751DC">
        <w:rPr>
          <w:rFonts w:ascii="Times New Roman" w:hAnsi="Times New Roman" w:cs="Times New Roman"/>
          <w:color w:val="000000"/>
        </w:rPr>
        <w:t xml:space="preserve"> afin de garantir </w:t>
      </w:r>
      <w:r>
        <w:rPr>
          <w:rFonts w:ascii="Times New Roman" w:hAnsi="Times New Roman" w:cs="Times New Roman"/>
          <w:color w:val="000000"/>
        </w:rPr>
        <w:t>un impact</w:t>
      </w:r>
      <w:r w:rsidRPr="00B751DC">
        <w:rPr>
          <w:rFonts w:ascii="Times New Roman" w:hAnsi="Times New Roman" w:cs="Times New Roman"/>
          <w:color w:val="000000"/>
        </w:rPr>
        <w:t xml:space="preserve"> optimal</w:t>
      </w:r>
      <w:r w:rsidR="00282DDD">
        <w:rPr>
          <w:rFonts w:ascii="Times New Roman" w:hAnsi="Times New Roman" w:cs="Times New Roman"/>
          <w:color w:val="000000"/>
        </w:rPr>
        <w:t>.</w:t>
      </w:r>
    </w:p>
    <w:p w14:paraId="6B634856" w14:textId="0C1E397B" w:rsidR="000D2006" w:rsidRDefault="00006306">
      <w:pPr>
        <w:pStyle w:val="ListParagraph"/>
        <w:numPr>
          <w:ilvl w:val="0"/>
          <w:numId w:val="11"/>
        </w:numPr>
        <w:spacing w:after="120"/>
        <w:jc w:val="both"/>
        <w:rPr>
          <w:rFonts w:ascii="Times New Roman" w:hAnsi="Times New Roman" w:cs="Times New Roman"/>
          <w:iCs/>
        </w:rPr>
      </w:pPr>
      <w:r w:rsidRPr="00006306">
        <w:rPr>
          <w:rFonts w:ascii="Times New Roman" w:hAnsi="Times New Roman" w:cs="Times New Roman"/>
          <w:color w:val="000000"/>
        </w:rPr>
        <w:t xml:space="preserve">Ratifier les </w:t>
      </w:r>
      <w:r>
        <w:rPr>
          <w:rFonts w:ascii="Times New Roman" w:hAnsi="Times New Roman" w:cs="Times New Roman"/>
          <w:color w:val="000000"/>
        </w:rPr>
        <w:t>conventions et protocoles</w:t>
      </w:r>
      <w:r w:rsidRPr="00006306">
        <w:rPr>
          <w:rFonts w:ascii="Times New Roman" w:hAnsi="Times New Roman" w:cs="Times New Roman"/>
          <w:color w:val="000000"/>
        </w:rPr>
        <w:t xml:space="preserve"> internationaux</w:t>
      </w:r>
      <w:r>
        <w:rPr>
          <w:rFonts w:ascii="Times New Roman" w:hAnsi="Times New Roman" w:cs="Times New Roman"/>
          <w:color w:val="000000"/>
        </w:rPr>
        <w:t xml:space="preserve">, en particulier ceux portant </w:t>
      </w:r>
      <w:r w:rsidRPr="00006306">
        <w:rPr>
          <w:rFonts w:ascii="Times New Roman" w:hAnsi="Times New Roman" w:cs="Times New Roman"/>
          <w:color w:val="000000"/>
        </w:rPr>
        <w:t>sur le mariage des enfants</w:t>
      </w:r>
      <w:r w:rsidR="00735707">
        <w:rPr>
          <w:rFonts w:ascii="Times New Roman" w:hAnsi="Times New Roman" w:cs="Times New Roman"/>
          <w:color w:val="000000"/>
        </w:rPr>
        <w:t>.</w:t>
      </w:r>
      <w:r w:rsidR="000D2006">
        <w:rPr>
          <w:rFonts w:ascii="Times New Roman" w:hAnsi="Times New Roman" w:cs="Times New Roman"/>
          <w:iCs/>
        </w:rPr>
        <w:t xml:space="preserve"> </w:t>
      </w:r>
    </w:p>
    <w:p w14:paraId="05AAE29E" w14:textId="43A270EF" w:rsidR="00AB0A3E" w:rsidRPr="00AB0A3E" w:rsidRDefault="00FB6A02">
      <w:pPr>
        <w:pStyle w:val="ListParagraph"/>
        <w:numPr>
          <w:ilvl w:val="0"/>
          <w:numId w:val="11"/>
        </w:numPr>
        <w:jc w:val="both"/>
        <w:rPr>
          <w:rFonts w:ascii="Times New Roman" w:hAnsi="Times New Roman" w:cs="Times New Roman"/>
          <w:color w:val="000000"/>
        </w:rPr>
      </w:pPr>
      <w:r w:rsidRPr="00FB6A02">
        <w:rPr>
          <w:rFonts w:ascii="Times New Roman" w:hAnsi="Times New Roman" w:cs="Times New Roman"/>
          <w:color w:val="000000"/>
        </w:rPr>
        <w:t>Élaborer</w:t>
      </w:r>
      <w:r w:rsidR="00735707">
        <w:rPr>
          <w:rFonts w:ascii="Times New Roman" w:hAnsi="Times New Roman" w:cs="Times New Roman"/>
          <w:color w:val="000000"/>
        </w:rPr>
        <w:t xml:space="preserve"> ou réviser</w:t>
      </w:r>
      <w:r w:rsidRPr="00FB6A02">
        <w:rPr>
          <w:rFonts w:ascii="Times New Roman" w:hAnsi="Times New Roman" w:cs="Times New Roman"/>
          <w:color w:val="000000"/>
        </w:rPr>
        <w:t xml:space="preserve"> et vulgariser</w:t>
      </w:r>
      <w:r w:rsidR="00735707">
        <w:rPr>
          <w:rFonts w:ascii="Times New Roman" w:hAnsi="Times New Roman" w:cs="Times New Roman"/>
          <w:color w:val="000000"/>
        </w:rPr>
        <w:t xml:space="preserve"> (y compris</w:t>
      </w:r>
      <w:r w:rsidR="009508B9">
        <w:rPr>
          <w:rFonts w:ascii="Times New Roman" w:hAnsi="Times New Roman" w:cs="Times New Roman"/>
          <w:color w:val="000000"/>
        </w:rPr>
        <w:t xml:space="preserve"> dans </w:t>
      </w:r>
      <w:r w:rsidR="009508B9" w:rsidRPr="009508B9">
        <w:rPr>
          <w:rFonts w:ascii="Times New Roman" w:hAnsi="Times New Roman" w:cs="Times New Roman"/>
          <w:color w:val="000000"/>
        </w:rPr>
        <w:t>les langues nationales</w:t>
      </w:r>
      <w:r w:rsidR="00735707">
        <w:rPr>
          <w:rFonts w:ascii="Times New Roman" w:hAnsi="Times New Roman" w:cs="Times New Roman"/>
          <w:color w:val="000000"/>
        </w:rPr>
        <w:t>) l</w:t>
      </w:r>
      <w:r w:rsidR="009508B9" w:rsidRPr="009508B9">
        <w:rPr>
          <w:rFonts w:ascii="Times New Roman" w:hAnsi="Times New Roman" w:cs="Times New Roman"/>
          <w:color w:val="000000"/>
        </w:rPr>
        <w:t xml:space="preserve">es textes de lois relatifs </w:t>
      </w:r>
      <w:r w:rsidR="00CF320F">
        <w:rPr>
          <w:rFonts w:ascii="Times New Roman" w:hAnsi="Times New Roman" w:cs="Times New Roman"/>
          <w:color w:val="000000"/>
        </w:rPr>
        <w:t>aux droits de l</w:t>
      </w:r>
      <w:r w:rsidR="00570944">
        <w:rPr>
          <w:rFonts w:ascii="Times New Roman" w:hAnsi="Times New Roman" w:cs="Times New Roman"/>
          <w:color w:val="000000"/>
        </w:rPr>
        <w:t>’</w:t>
      </w:r>
      <w:r w:rsidR="00CF320F">
        <w:rPr>
          <w:rFonts w:ascii="Times New Roman" w:hAnsi="Times New Roman" w:cs="Times New Roman"/>
          <w:color w:val="000000"/>
        </w:rPr>
        <w:t xml:space="preserve">enfant, et aux </w:t>
      </w:r>
      <w:r w:rsidR="009508B9" w:rsidRPr="009508B9">
        <w:rPr>
          <w:rFonts w:ascii="Times New Roman" w:hAnsi="Times New Roman" w:cs="Times New Roman"/>
          <w:color w:val="000000"/>
        </w:rPr>
        <w:t>VBG</w:t>
      </w:r>
      <w:r w:rsidR="00CF320F">
        <w:rPr>
          <w:rFonts w:ascii="Times New Roman" w:hAnsi="Times New Roman" w:cs="Times New Roman"/>
          <w:color w:val="000000"/>
        </w:rPr>
        <w:t xml:space="preserve"> et </w:t>
      </w:r>
      <w:r w:rsidR="00206284">
        <w:rPr>
          <w:rFonts w:ascii="Times New Roman" w:hAnsi="Times New Roman" w:cs="Times New Roman"/>
          <w:color w:val="000000"/>
        </w:rPr>
        <w:t xml:space="preserve">autres </w:t>
      </w:r>
      <w:r w:rsidR="00CF320F">
        <w:rPr>
          <w:rFonts w:ascii="Times New Roman" w:hAnsi="Times New Roman" w:cs="Times New Roman"/>
          <w:color w:val="000000"/>
        </w:rPr>
        <w:t>pratiques</w:t>
      </w:r>
      <w:r w:rsidR="00326A02">
        <w:rPr>
          <w:rFonts w:ascii="Times New Roman" w:hAnsi="Times New Roman"/>
          <w:color w:val="000000"/>
        </w:rPr>
        <w:t xml:space="preserve"> </w:t>
      </w:r>
      <w:r w:rsidR="00CF320F">
        <w:rPr>
          <w:rFonts w:ascii="Times New Roman" w:hAnsi="Times New Roman" w:cs="Times New Roman"/>
          <w:color w:val="000000"/>
        </w:rPr>
        <w:t>préjudiciables (mariage des enfants, MGF, etc.)</w:t>
      </w:r>
      <w:r w:rsidR="00735707">
        <w:rPr>
          <w:rFonts w:ascii="Times New Roman" w:hAnsi="Times New Roman" w:cs="Times New Roman"/>
          <w:color w:val="000000"/>
        </w:rPr>
        <w:t xml:space="preserve"> ; </w:t>
      </w:r>
      <w:r w:rsidR="00735707">
        <w:rPr>
          <w:rFonts w:ascii="Times New Roman" w:hAnsi="Times New Roman" w:cs="Times New Roman"/>
          <w:iCs/>
        </w:rPr>
        <w:t>appliquer les sanctions en cas de non-respect de la loi</w:t>
      </w:r>
      <w:r w:rsidR="00AB0A3E">
        <w:rPr>
          <w:rFonts w:ascii="Times New Roman" w:hAnsi="Times New Roman" w:cs="Times New Roman"/>
          <w:iCs/>
        </w:rPr>
        <w:t xml:space="preserve"> ; </w:t>
      </w:r>
      <w:r w:rsidR="00AB0A3E" w:rsidRPr="00AB0A3E">
        <w:rPr>
          <w:rFonts w:ascii="Times New Roman" w:hAnsi="Times New Roman" w:cs="Times New Roman"/>
        </w:rPr>
        <w:t>sanctionner sévèrement les auteurs de violences sexuelles et décourager les arrangements à l</w:t>
      </w:r>
      <w:r w:rsidR="00570944">
        <w:rPr>
          <w:rFonts w:ascii="Times New Roman" w:hAnsi="Times New Roman" w:cs="Times New Roman"/>
        </w:rPr>
        <w:t>’</w:t>
      </w:r>
      <w:r w:rsidR="00206284">
        <w:rPr>
          <w:rFonts w:ascii="Times New Roman" w:hAnsi="Times New Roman" w:cs="Times New Roman"/>
        </w:rPr>
        <w:t>amiable.</w:t>
      </w:r>
    </w:p>
    <w:p w14:paraId="6256DF7A" w14:textId="5947EFD6" w:rsidR="009508B9" w:rsidRDefault="009508B9">
      <w:pPr>
        <w:pStyle w:val="ListParagraph"/>
        <w:numPr>
          <w:ilvl w:val="0"/>
          <w:numId w:val="11"/>
        </w:numPr>
        <w:spacing w:after="0"/>
        <w:jc w:val="both"/>
        <w:rPr>
          <w:rFonts w:ascii="Times New Roman" w:hAnsi="Times New Roman" w:cs="Times New Roman"/>
          <w:color w:val="000000"/>
        </w:rPr>
      </w:pPr>
      <w:r w:rsidRPr="009508B9">
        <w:rPr>
          <w:rFonts w:ascii="Times New Roman" w:hAnsi="Times New Roman" w:cs="Times New Roman"/>
          <w:color w:val="000000"/>
        </w:rPr>
        <w:lastRenderedPageBreak/>
        <w:t xml:space="preserve">Renforcer les dispositifs juridiques pour la prévention et la prise en charge des victimes de </w:t>
      </w:r>
      <w:r>
        <w:rPr>
          <w:rFonts w:ascii="Times New Roman" w:hAnsi="Times New Roman" w:cs="Times New Roman"/>
          <w:color w:val="000000"/>
        </w:rPr>
        <w:t>VBG</w:t>
      </w:r>
      <w:r w:rsidR="00CF320F">
        <w:rPr>
          <w:rFonts w:ascii="Times New Roman" w:hAnsi="Times New Roman" w:cs="Times New Roman"/>
          <w:color w:val="000000"/>
        </w:rPr>
        <w:t xml:space="preserve">, et sur les grossesses précoces. </w:t>
      </w:r>
    </w:p>
    <w:p w14:paraId="3741FC74" w14:textId="20207079" w:rsidR="00280B25" w:rsidRPr="00280B25" w:rsidRDefault="00280B25">
      <w:pPr>
        <w:pStyle w:val="ListParagraph"/>
        <w:numPr>
          <w:ilvl w:val="0"/>
          <w:numId w:val="11"/>
        </w:numPr>
        <w:jc w:val="both"/>
        <w:rPr>
          <w:rFonts w:ascii="Times New Roman" w:hAnsi="Times New Roman" w:cs="Times New Roman"/>
          <w:color w:val="000000"/>
        </w:rPr>
      </w:pPr>
      <w:r w:rsidRPr="00280B25">
        <w:rPr>
          <w:rFonts w:ascii="Times New Roman" w:hAnsi="Times New Roman" w:cs="Times New Roman"/>
          <w:color w:val="000000"/>
        </w:rPr>
        <w:t>Intégrer et mettre en œuvre les lois pertinentes relatives à l</w:t>
      </w:r>
      <w:r w:rsidR="00570944">
        <w:rPr>
          <w:rFonts w:ascii="Times New Roman" w:hAnsi="Times New Roman" w:cs="Times New Roman"/>
          <w:color w:val="000000"/>
        </w:rPr>
        <w:t>’</w:t>
      </w:r>
      <w:r w:rsidRPr="00280B25">
        <w:rPr>
          <w:rFonts w:ascii="Times New Roman" w:hAnsi="Times New Roman" w:cs="Times New Roman"/>
          <w:color w:val="000000"/>
        </w:rPr>
        <w:t xml:space="preserve">égalité des sexes et à la </w:t>
      </w:r>
      <w:r w:rsidR="00B71C8D">
        <w:rPr>
          <w:rFonts w:ascii="Times New Roman" w:hAnsi="Times New Roman" w:cs="Times New Roman"/>
          <w:color w:val="000000"/>
        </w:rPr>
        <w:t>SSR</w:t>
      </w:r>
      <w:r w:rsidRPr="00280B25">
        <w:rPr>
          <w:rFonts w:ascii="Times New Roman" w:hAnsi="Times New Roman" w:cs="Times New Roman"/>
          <w:color w:val="000000"/>
        </w:rPr>
        <w:t>, notamment les lois sur les droits de l</w:t>
      </w:r>
      <w:r w:rsidR="00570944">
        <w:rPr>
          <w:rFonts w:ascii="Times New Roman" w:hAnsi="Times New Roman" w:cs="Times New Roman"/>
          <w:color w:val="000000"/>
        </w:rPr>
        <w:t>’</w:t>
      </w:r>
      <w:r w:rsidRPr="00280B25">
        <w:rPr>
          <w:rFonts w:ascii="Times New Roman" w:hAnsi="Times New Roman" w:cs="Times New Roman"/>
          <w:color w:val="000000"/>
        </w:rPr>
        <w:t xml:space="preserve">enfant et </w:t>
      </w:r>
      <w:r w:rsidR="00B71C8D">
        <w:rPr>
          <w:rFonts w:ascii="Times New Roman" w:hAnsi="Times New Roman" w:cs="Times New Roman"/>
          <w:color w:val="000000"/>
        </w:rPr>
        <w:t>l</w:t>
      </w:r>
      <w:r w:rsidR="00570944">
        <w:rPr>
          <w:rFonts w:ascii="Times New Roman" w:hAnsi="Times New Roman" w:cs="Times New Roman"/>
          <w:color w:val="000000"/>
        </w:rPr>
        <w:t>’</w:t>
      </w:r>
      <w:r w:rsidR="00B71C8D">
        <w:rPr>
          <w:rFonts w:ascii="Times New Roman" w:hAnsi="Times New Roman" w:cs="Times New Roman"/>
          <w:color w:val="000000"/>
        </w:rPr>
        <w:t>interdiction des violences</w:t>
      </w:r>
      <w:r w:rsidRPr="00280B25">
        <w:rPr>
          <w:rFonts w:ascii="Times New Roman" w:hAnsi="Times New Roman" w:cs="Times New Roman"/>
          <w:color w:val="000000"/>
        </w:rPr>
        <w:t>.</w:t>
      </w:r>
    </w:p>
    <w:p w14:paraId="21790F07" w14:textId="7FFE3372" w:rsidR="0029190C" w:rsidRPr="00D94555" w:rsidRDefault="0029190C">
      <w:pPr>
        <w:pStyle w:val="NormalWeb"/>
        <w:jc w:val="both"/>
        <w:rPr>
          <w:b/>
          <w:bCs/>
          <w:color w:val="000000"/>
          <w:sz w:val="22"/>
          <w:szCs w:val="22"/>
        </w:rPr>
      </w:pPr>
      <w:r w:rsidRPr="00D94555">
        <w:rPr>
          <w:b/>
          <w:bCs/>
          <w:color w:val="000000"/>
          <w:sz w:val="22"/>
          <w:szCs w:val="22"/>
        </w:rPr>
        <w:t xml:space="preserve">4. </w:t>
      </w:r>
      <w:r w:rsidR="006D4060" w:rsidRPr="00D94555">
        <w:rPr>
          <w:b/>
          <w:bCs/>
          <w:color w:val="000000"/>
          <w:sz w:val="22"/>
          <w:szCs w:val="22"/>
        </w:rPr>
        <w:t>Cibles</w:t>
      </w:r>
    </w:p>
    <w:p w14:paraId="0F4C5FF0" w14:textId="5693389F" w:rsidR="00D662FB" w:rsidRPr="00D94555" w:rsidRDefault="00B5062A">
      <w:pPr>
        <w:jc w:val="both"/>
        <w:rPr>
          <w:rFonts w:ascii="Times New Roman" w:eastAsia="Times New Roman" w:hAnsi="Times New Roman" w:cs="Times New Roman"/>
          <w:color w:val="000000"/>
          <w:lang w:eastAsia="fr-FR"/>
        </w:rPr>
      </w:pPr>
      <w:r w:rsidRPr="00D94555">
        <w:rPr>
          <w:rFonts w:ascii="Times New Roman" w:eastAsia="Times New Roman" w:hAnsi="Times New Roman" w:cs="Times New Roman"/>
          <w:color w:val="000000"/>
          <w:lang w:eastAsia="fr-FR"/>
        </w:rPr>
        <w:t>[ajouter ici les cibles : doivent correspondre aux engagements et fournir échéances]</w:t>
      </w:r>
    </w:p>
    <w:p w14:paraId="4999E1E9" w14:textId="474DD0B4" w:rsidR="0029190C" w:rsidRPr="00D94555" w:rsidRDefault="0029190C">
      <w:pPr>
        <w:pStyle w:val="NormalWeb"/>
        <w:jc w:val="both"/>
        <w:rPr>
          <w:b/>
          <w:bCs/>
          <w:color w:val="000000"/>
          <w:sz w:val="22"/>
          <w:szCs w:val="22"/>
        </w:rPr>
      </w:pPr>
      <w:r w:rsidRPr="00D94555">
        <w:rPr>
          <w:b/>
          <w:bCs/>
          <w:color w:val="000000"/>
          <w:sz w:val="22"/>
          <w:szCs w:val="22"/>
        </w:rPr>
        <w:t xml:space="preserve">5. </w:t>
      </w:r>
      <w:r w:rsidR="006D4060" w:rsidRPr="00D94555">
        <w:rPr>
          <w:b/>
          <w:bCs/>
          <w:color w:val="000000"/>
          <w:sz w:val="22"/>
          <w:szCs w:val="22"/>
        </w:rPr>
        <w:t>Cadre de redevabilité</w:t>
      </w:r>
    </w:p>
    <w:p w14:paraId="5454367A" w14:textId="7B824664" w:rsidR="00736FD3" w:rsidRPr="00D94555" w:rsidRDefault="00B5062A">
      <w:pPr>
        <w:pStyle w:val="NormalWeb"/>
        <w:jc w:val="both"/>
        <w:rPr>
          <w:color w:val="000000"/>
          <w:sz w:val="22"/>
          <w:szCs w:val="22"/>
        </w:rPr>
      </w:pPr>
      <w:r w:rsidRPr="00D94555">
        <w:rPr>
          <w:color w:val="000000"/>
          <w:sz w:val="22"/>
          <w:szCs w:val="22"/>
        </w:rPr>
        <w:t>[Mécanisme pour rendre compte des progrès et évaluer les résultats]</w:t>
      </w:r>
    </w:p>
    <w:p w14:paraId="4E9ABED0" w14:textId="77777777" w:rsidR="00BD55E5" w:rsidRDefault="00BD55E5">
      <w:pPr>
        <w:pStyle w:val="NormalWeb"/>
        <w:jc w:val="both"/>
        <w:rPr>
          <w:b/>
          <w:bCs/>
          <w:color w:val="000000"/>
          <w:sz w:val="22"/>
          <w:szCs w:val="22"/>
        </w:rPr>
      </w:pPr>
    </w:p>
    <w:p w14:paraId="447867E1" w14:textId="38B68F0D" w:rsidR="00736FD3" w:rsidRPr="00137DC3" w:rsidRDefault="00736FD3">
      <w:pPr>
        <w:pStyle w:val="NormalWeb"/>
        <w:jc w:val="both"/>
        <w:rPr>
          <w:b/>
          <w:bCs/>
          <w:color w:val="000000"/>
          <w:sz w:val="22"/>
          <w:szCs w:val="22"/>
        </w:rPr>
      </w:pPr>
      <w:r w:rsidRPr="00137DC3">
        <w:rPr>
          <w:b/>
          <w:bCs/>
          <w:color w:val="000000"/>
          <w:sz w:val="22"/>
          <w:szCs w:val="22"/>
        </w:rPr>
        <w:t xml:space="preserve">Annexe : </w:t>
      </w:r>
    </w:p>
    <w:p w14:paraId="654E1636" w14:textId="020D5006" w:rsidR="003D6FAA" w:rsidRPr="00137DC3" w:rsidRDefault="00736FD3">
      <w:pPr>
        <w:pStyle w:val="NormalWeb"/>
        <w:jc w:val="both"/>
        <w:rPr>
          <w:b/>
          <w:bCs/>
          <w:i/>
          <w:iCs/>
          <w:color w:val="000000"/>
          <w:sz w:val="22"/>
          <w:szCs w:val="22"/>
          <w:u w:val="single"/>
        </w:rPr>
      </w:pPr>
      <w:r w:rsidRPr="00137DC3">
        <w:rPr>
          <w:b/>
          <w:bCs/>
          <w:i/>
          <w:iCs/>
          <w:color w:val="000000"/>
          <w:sz w:val="22"/>
          <w:szCs w:val="22"/>
          <w:u w:val="single"/>
        </w:rPr>
        <w:t xml:space="preserve">Engagements internationaux </w:t>
      </w:r>
      <w:r w:rsidR="006D00E0" w:rsidRPr="00137DC3">
        <w:rPr>
          <w:b/>
          <w:bCs/>
          <w:i/>
          <w:iCs/>
          <w:color w:val="000000"/>
          <w:sz w:val="22"/>
          <w:szCs w:val="22"/>
          <w:u w:val="single"/>
        </w:rPr>
        <w:t>et régionaux</w:t>
      </w:r>
    </w:p>
    <w:p w14:paraId="1E2BD405" w14:textId="2C723A1F" w:rsidR="00597BAF" w:rsidRPr="00137DC3" w:rsidRDefault="003C164C">
      <w:pPr>
        <w:pStyle w:val="NormalWeb"/>
        <w:jc w:val="both"/>
        <w:rPr>
          <w:b/>
          <w:bCs/>
          <w:sz w:val="22"/>
          <w:szCs w:val="22"/>
        </w:rPr>
      </w:pPr>
      <w:r w:rsidRPr="00137DC3">
        <w:rPr>
          <w:b/>
          <w:bCs/>
          <w:sz w:val="22"/>
          <w:szCs w:val="22"/>
        </w:rPr>
        <w:t>Éducation</w:t>
      </w:r>
    </w:p>
    <w:p w14:paraId="676A78C2" w14:textId="25CDFEF8" w:rsidR="00937054" w:rsidRPr="00137DC3" w:rsidRDefault="00937054">
      <w:pPr>
        <w:pStyle w:val="NormalWeb"/>
        <w:numPr>
          <w:ilvl w:val="0"/>
          <w:numId w:val="2"/>
        </w:numPr>
        <w:jc w:val="both"/>
        <w:rPr>
          <w:i/>
          <w:iCs/>
          <w:sz w:val="22"/>
          <w:szCs w:val="22"/>
        </w:rPr>
      </w:pPr>
      <w:r w:rsidRPr="00137DC3">
        <w:rPr>
          <w:i/>
          <w:iCs/>
          <w:sz w:val="22"/>
          <w:szCs w:val="22"/>
        </w:rPr>
        <w:t>Objectifs de développement durable</w:t>
      </w:r>
    </w:p>
    <w:p w14:paraId="2D797EEA" w14:textId="47AEC71F" w:rsidR="00937054" w:rsidRPr="00137DC3" w:rsidRDefault="00937054">
      <w:pPr>
        <w:pStyle w:val="NormalWeb"/>
        <w:numPr>
          <w:ilvl w:val="0"/>
          <w:numId w:val="2"/>
        </w:numPr>
        <w:jc w:val="both"/>
        <w:rPr>
          <w:i/>
          <w:iCs/>
          <w:sz w:val="22"/>
          <w:szCs w:val="22"/>
        </w:rPr>
      </w:pPr>
      <w:r w:rsidRPr="00137DC3">
        <w:rPr>
          <w:i/>
          <w:iCs/>
          <w:sz w:val="22"/>
          <w:szCs w:val="22"/>
        </w:rPr>
        <w:t>Cadre d</w:t>
      </w:r>
      <w:r w:rsidR="00570944">
        <w:rPr>
          <w:i/>
          <w:iCs/>
          <w:sz w:val="22"/>
          <w:szCs w:val="22"/>
        </w:rPr>
        <w:t>’</w:t>
      </w:r>
      <w:r w:rsidRPr="00137DC3">
        <w:rPr>
          <w:i/>
          <w:iCs/>
          <w:sz w:val="22"/>
          <w:szCs w:val="22"/>
        </w:rPr>
        <w:t xml:space="preserve">Action </w:t>
      </w:r>
      <w:r w:rsidR="003C164C" w:rsidRPr="00137DC3">
        <w:rPr>
          <w:i/>
          <w:iCs/>
          <w:sz w:val="22"/>
          <w:szCs w:val="22"/>
        </w:rPr>
        <w:t>Éducation</w:t>
      </w:r>
      <w:r w:rsidRPr="00137DC3">
        <w:rPr>
          <w:i/>
          <w:iCs/>
          <w:sz w:val="22"/>
          <w:szCs w:val="22"/>
        </w:rPr>
        <w:t xml:space="preserve"> 2030 </w:t>
      </w:r>
    </w:p>
    <w:p w14:paraId="0AF76B03" w14:textId="546AED9B" w:rsidR="00441A78" w:rsidRPr="00137DC3" w:rsidRDefault="00441A78">
      <w:pPr>
        <w:pStyle w:val="NormalWeb"/>
        <w:numPr>
          <w:ilvl w:val="0"/>
          <w:numId w:val="2"/>
        </w:numPr>
        <w:jc w:val="both"/>
        <w:rPr>
          <w:i/>
          <w:iCs/>
          <w:sz w:val="22"/>
          <w:szCs w:val="22"/>
        </w:rPr>
      </w:pPr>
      <w:r w:rsidRPr="00137DC3">
        <w:rPr>
          <w:i/>
          <w:iCs/>
          <w:sz w:val="22"/>
          <w:szCs w:val="22"/>
        </w:rPr>
        <w:t>Agenda 2063 de l</w:t>
      </w:r>
      <w:r w:rsidR="00570944">
        <w:rPr>
          <w:i/>
          <w:iCs/>
          <w:sz w:val="22"/>
          <w:szCs w:val="22"/>
        </w:rPr>
        <w:t>’</w:t>
      </w:r>
      <w:r w:rsidRPr="00137DC3">
        <w:rPr>
          <w:i/>
          <w:iCs/>
          <w:sz w:val="22"/>
          <w:szCs w:val="22"/>
        </w:rPr>
        <w:t>Union Africaine</w:t>
      </w:r>
    </w:p>
    <w:p w14:paraId="7E1A9566" w14:textId="2221C940" w:rsidR="006D00E0" w:rsidRPr="00137DC3" w:rsidRDefault="008A586B">
      <w:pPr>
        <w:pStyle w:val="NormalWeb"/>
        <w:numPr>
          <w:ilvl w:val="0"/>
          <w:numId w:val="2"/>
        </w:numPr>
        <w:spacing w:before="0" w:beforeAutospacing="0" w:after="0" w:afterAutospacing="0"/>
        <w:jc w:val="both"/>
        <w:rPr>
          <w:i/>
          <w:iCs/>
          <w:sz w:val="22"/>
          <w:szCs w:val="22"/>
        </w:rPr>
      </w:pPr>
      <w:r w:rsidRPr="00137DC3">
        <w:rPr>
          <w:i/>
          <w:iCs/>
          <w:sz w:val="22"/>
          <w:szCs w:val="22"/>
        </w:rPr>
        <w:t xml:space="preserve">Stratégie continentale </w:t>
      </w:r>
      <w:r w:rsidR="000F53FE" w:rsidRPr="00137DC3">
        <w:rPr>
          <w:i/>
          <w:iCs/>
          <w:sz w:val="22"/>
          <w:szCs w:val="22"/>
        </w:rPr>
        <w:t>de</w:t>
      </w:r>
      <w:r w:rsidRPr="00137DC3">
        <w:rPr>
          <w:i/>
          <w:iCs/>
          <w:sz w:val="22"/>
          <w:szCs w:val="22"/>
        </w:rPr>
        <w:t xml:space="preserve"> l</w:t>
      </w:r>
      <w:r w:rsidR="00570944">
        <w:rPr>
          <w:i/>
          <w:iCs/>
          <w:sz w:val="22"/>
          <w:szCs w:val="22"/>
        </w:rPr>
        <w:t>’</w:t>
      </w:r>
      <w:r w:rsidRPr="00137DC3">
        <w:rPr>
          <w:i/>
          <w:iCs/>
          <w:sz w:val="22"/>
          <w:szCs w:val="22"/>
        </w:rPr>
        <w:t>éducation pour l</w:t>
      </w:r>
      <w:r w:rsidR="00570944">
        <w:rPr>
          <w:i/>
          <w:iCs/>
          <w:sz w:val="22"/>
          <w:szCs w:val="22"/>
        </w:rPr>
        <w:t>’</w:t>
      </w:r>
      <w:r w:rsidRPr="00137DC3">
        <w:rPr>
          <w:i/>
          <w:iCs/>
          <w:sz w:val="22"/>
          <w:szCs w:val="22"/>
        </w:rPr>
        <w:t>Afrique (CESA</w:t>
      </w:r>
      <w:r w:rsidR="000F53FE" w:rsidRPr="00137DC3">
        <w:rPr>
          <w:i/>
          <w:iCs/>
          <w:sz w:val="22"/>
          <w:szCs w:val="22"/>
        </w:rPr>
        <w:t xml:space="preserve"> 20</w:t>
      </w:r>
      <w:r w:rsidRPr="00137DC3">
        <w:rPr>
          <w:i/>
          <w:iCs/>
          <w:sz w:val="22"/>
          <w:szCs w:val="22"/>
        </w:rPr>
        <w:t>16-2</w:t>
      </w:r>
      <w:r w:rsidR="000F53FE" w:rsidRPr="00137DC3">
        <w:rPr>
          <w:i/>
          <w:iCs/>
          <w:sz w:val="22"/>
          <w:szCs w:val="22"/>
        </w:rPr>
        <w:t>02</w:t>
      </w:r>
      <w:r w:rsidRPr="00137DC3">
        <w:rPr>
          <w:i/>
          <w:iCs/>
          <w:sz w:val="22"/>
          <w:szCs w:val="22"/>
        </w:rPr>
        <w:t>5</w:t>
      </w:r>
      <w:r w:rsidR="000F53FE" w:rsidRPr="00137DC3">
        <w:rPr>
          <w:i/>
          <w:iCs/>
          <w:sz w:val="22"/>
          <w:szCs w:val="22"/>
        </w:rPr>
        <w:t>)</w:t>
      </w:r>
      <w:r w:rsidR="00FF214C" w:rsidRPr="00137DC3">
        <w:rPr>
          <w:i/>
          <w:iCs/>
          <w:sz w:val="22"/>
          <w:szCs w:val="22"/>
        </w:rPr>
        <w:t xml:space="preserve">, Déclaration de Nairobi et Appel </w:t>
      </w:r>
      <w:r w:rsidR="007B23C2" w:rsidRPr="00137DC3">
        <w:rPr>
          <w:i/>
          <w:iCs/>
          <w:sz w:val="22"/>
          <w:szCs w:val="22"/>
        </w:rPr>
        <w:t>à l</w:t>
      </w:r>
      <w:r w:rsidR="00570944">
        <w:rPr>
          <w:i/>
          <w:iCs/>
          <w:sz w:val="22"/>
          <w:szCs w:val="22"/>
        </w:rPr>
        <w:t>’</w:t>
      </w:r>
      <w:r w:rsidR="007B23C2" w:rsidRPr="00137DC3">
        <w:rPr>
          <w:i/>
          <w:iCs/>
          <w:sz w:val="22"/>
          <w:szCs w:val="22"/>
        </w:rPr>
        <w:t>Action sur l</w:t>
      </w:r>
      <w:r w:rsidR="00570944">
        <w:rPr>
          <w:i/>
          <w:iCs/>
          <w:sz w:val="22"/>
          <w:szCs w:val="22"/>
        </w:rPr>
        <w:t>’</w:t>
      </w:r>
      <w:r w:rsidR="007B23C2" w:rsidRPr="00137DC3">
        <w:rPr>
          <w:i/>
          <w:iCs/>
          <w:sz w:val="22"/>
          <w:szCs w:val="22"/>
        </w:rPr>
        <w:t>éducation – créer le lien entre les cadres d</w:t>
      </w:r>
      <w:r w:rsidR="00570944">
        <w:rPr>
          <w:i/>
          <w:iCs/>
          <w:sz w:val="22"/>
          <w:szCs w:val="22"/>
        </w:rPr>
        <w:t>’</w:t>
      </w:r>
      <w:r w:rsidR="007B23C2" w:rsidRPr="00137DC3">
        <w:rPr>
          <w:i/>
          <w:iCs/>
          <w:sz w:val="22"/>
          <w:szCs w:val="22"/>
        </w:rPr>
        <w:t>éducation continental et mondial pour l</w:t>
      </w:r>
      <w:r w:rsidR="00570944">
        <w:rPr>
          <w:i/>
          <w:iCs/>
          <w:sz w:val="22"/>
          <w:szCs w:val="22"/>
        </w:rPr>
        <w:t>’</w:t>
      </w:r>
      <w:r w:rsidR="007B23C2" w:rsidRPr="00137DC3">
        <w:rPr>
          <w:i/>
          <w:iCs/>
          <w:sz w:val="22"/>
          <w:szCs w:val="22"/>
        </w:rPr>
        <w:t>Afrique que nous voulons (2018</w:t>
      </w:r>
      <w:r w:rsidR="0073298A" w:rsidRPr="00137DC3">
        <w:rPr>
          <w:i/>
          <w:iCs/>
          <w:sz w:val="22"/>
          <w:szCs w:val="22"/>
        </w:rPr>
        <w:t>)</w:t>
      </w:r>
    </w:p>
    <w:p w14:paraId="3369E754" w14:textId="7DE67CBC" w:rsidR="00597BAF" w:rsidRPr="00137DC3" w:rsidRDefault="003C164C">
      <w:pPr>
        <w:pStyle w:val="NormalWeb"/>
        <w:jc w:val="both"/>
        <w:rPr>
          <w:b/>
          <w:bCs/>
          <w:sz w:val="22"/>
          <w:szCs w:val="22"/>
        </w:rPr>
      </w:pPr>
      <w:r w:rsidRPr="00137DC3">
        <w:rPr>
          <w:b/>
          <w:bCs/>
          <w:sz w:val="22"/>
          <w:szCs w:val="22"/>
        </w:rPr>
        <w:t>Santé</w:t>
      </w:r>
    </w:p>
    <w:p w14:paraId="6915CEC2" w14:textId="51009552" w:rsidR="00597BAF" w:rsidRPr="00137DC3" w:rsidRDefault="000A47B2">
      <w:pPr>
        <w:pStyle w:val="NormalWeb"/>
        <w:numPr>
          <w:ilvl w:val="0"/>
          <w:numId w:val="2"/>
        </w:numPr>
        <w:jc w:val="both"/>
        <w:rPr>
          <w:i/>
          <w:iCs/>
          <w:sz w:val="22"/>
          <w:szCs w:val="22"/>
        </w:rPr>
      </w:pPr>
      <w:r w:rsidRPr="00137DC3">
        <w:rPr>
          <w:i/>
          <w:iCs/>
          <w:sz w:val="22"/>
          <w:szCs w:val="22"/>
        </w:rPr>
        <w:t>Stratégie africaine de la santé (SAS, 2007-2015)</w:t>
      </w:r>
    </w:p>
    <w:p w14:paraId="2000BA81" w14:textId="0E7739E3" w:rsidR="007119C5" w:rsidRPr="00137DC3" w:rsidRDefault="00FC3FF0">
      <w:pPr>
        <w:pStyle w:val="NormalWeb"/>
        <w:numPr>
          <w:ilvl w:val="0"/>
          <w:numId w:val="2"/>
        </w:numPr>
        <w:jc w:val="both"/>
        <w:rPr>
          <w:i/>
          <w:iCs/>
          <w:sz w:val="22"/>
          <w:szCs w:val="22"/>
        </w:rPr>
      </w:pPr>
      <w:r w:rsidRPr="00137DC3">
        <w:rPr>
          <w:i/>
          <w:iCs/>
          <w:sz w:val="22"/>
          <w:szCs w:val="22"/>
        </w:rPr>
        <w:t>P</w:t>
      </w:r>
      <w:r w:rsidR="002E3F69" w:rsidRPr="00137DC3">
        <w:rPr>
          <w:i/>
          <w:iCs/>
          <w:sz w:val="22"/>
          <w:szCs w:val="22"/>
        </w:rPr>
        <w:t>lan d</w:t>
      </w:r>
      <w:r w:rsidR="00570944">
        <w:rPr>
          <w:i/>
          <w:iCs/>
          <w:sz w:val="22"/>
          <w:szCs w:val="22"/>
        </w:rPr>
        <w:t>’</w:t>
      </w:r>
      <w:r w:rsidR="002E3F69" w:rsidRPr="00137DC3">
        <w:rPr>
          <w:i/>
          <w:iCs/>
          <w:sz w:val="22"/>
          <w:szCs w:val="22"/>
        </w:rPr>
        <w:t>action révisé de Maputo 2016-2030 de l</w:t>
      </w:r>
      <w:r w:rsidR="00570944">
        <w:rPr>
          <w:i/>
          <w:iCs/>
          <w:sz w:val="22"/>
          <w:szCs w:val="22"/>
        </w:rPr>
        <w:t>’</w:t>
      </w:r>
      <w:r w:rsidR="002E3F69" w:rsidRPr="00137DC3">
        <w:rPr>
          <w:i/>
          <w:iCs/>
          <w:sz w:val="22"/>
          <w:szCs w:val="22"/>
        </w:rPr>
        <w:t>Union africaine pour l</w:t>
      </w:r>
      <w:r w:rsidR="00570944">
        <w:rPr>
          <w:i/>
          <w:iCs/>
          <w:sz w:val="22"/>
          <w:szCs w:val="22"/>
        </w:rPr>
        <w:t>’</w:t>
      </w:r>
      <w:r w:rsidR="002E3F69" w:rsidRPr="00137DC3">
        <w:rPr>
          <w:i/>
          <w:iCs/>
          <w:sz w:val="22"/>
          <w:szCs w:val="22"/>
        </w:rPr>
        <w:t xml:space="preserve">opérationnalisation du cadre politique continental pour la santé et les droits sexuels et reproductifs.  </w:t>
      </w:r>
    </w:p>
    <w:p w14:paraId="7D277EBA" w14:textId="5088BC4B" w:rsidR="007119C5" w:rsidRPr="00137DC3" w:rsidRDefault="00031585">
      <w:pPr>
        <w:pStyle w:val="NormalWeb"/>
        <w:numPr>
          <w:ilvl w:val="0"/>
          <w:numId w:val="2"/>
        </w:numPr>
        <w:jc w:val="both"/>
        <w:rPr>
          <w:i/>
          <w:iCs/>
          <w:sz w:val="22"/>
          <w:szCs w:val="22"/>
        </w:rPr>
      </w:pPr>
      <w:r w:rsidRPr="00137DC3">
        <w:rPr>
          <w:i/>
          <w:iCs/>
          <w:sz w:val="22"/>
          <w:szCs w:val="22"/>
        </w:rPr>
        <w:t>Déclaration d</w:t>
      </w:r>
      <w:r w:rsidR="00570944">
        <w:rPr>
          <w:i/>
          <w:iCs/>
          <w:sz w:val="22"/>
          <w:szCs w:val="22"/>
        </w:rPr>
        <w:t>’</w:t>
      </w:r>
      <w:r w:rsidRPr="00137DC3">
        <w:rPr>
          <w:i/>
          <w:iCs/>
          <w:sz w:val="22"/>
          <w:szCs w:val="22"/>
        </w:rPr>
        <w:t xml:space="preserve">Addis-Abeba sur la population et le développement en Afrique au-delà de 2014 </w:t>
      </w:r>
      <w:r w:rsidR="007119C5" w:rsidRPr="00137DC3">
        <w:rPr>
          <w:i/>
          <w:iCs/>
          <w:sz w:val="22"/>
          <w:szCs w:val="22"/>
        </w:rPr>
        <w:t>(2013)</w:t>
      </w:r>
    </w:p>
    <w:p w14:paraId="5515B1DC" w14:textId="77777777" w:rsidR="00AA0E84" w:rsidRPr="00137DC3" w:rsidRDefault="00AA0E84">
      <w:pPr>
        <w:pStyle w:val="NormalWeb"/>
        <w:numPr>
          <w:ilvl w:val="0"/>
          <w:numId w:val="2"/>
        </w:numPr>
        <w:jc w:val="both"/>
        <w:rPr>
          <w:i/>
          <w:iCs/>
          <w:sz w:val="22"/>
          <w:szCs w:val="22"/>
        </w:rPr>
      </w:pPr>
      <w:r w:rsidRPr="00137DC3">
        <w:rPr>
          <w:i/>
          <w:iCs/>
          <w:sz w:val="22"/>
          <w:szCs w:val="22"/>
        </w:rPr>
        <w:t>Commission de la population et du développement, Résolution 2012/1 sur les adolescents et les jeunes (2012)</w:t>
      </w:r>
    </w:p>
    <w:p w14:paraId="3B6DA378" w14:textId="7959498A" w:rsidR="002201F5" w:rsidRDefault="00AA7D69">
      <w:pPr>
        <w:pStyle w:val="NormalWeb"/>
        <w:numPr>
          <w:ilvl w:val="0"/>
          <w:numId w:val="2"/>
        </w:numPr>
        <w:jc w:val="both"/>
        <w:rPr>
          <w:i/>
          <w:iCs/>
          <w:sz w:val="22"/>
          <w:szCs w:val="22"/>
        </w:rPr>
      </w:pPr>
      <w:r w:rsidRPr="00137DC3">
        <w:rPr>
          <w:i/>
          <w:iCs/>
          <w:sz w:val="22"/>
          <w:szCs w:val="22"/>
        </w:rPr>
        <w:t>Feuille de route de l</w:t>
      </w:r>
      <w:r w:rsidR="00570944">
        <w:rPr>
          <w:i/>
          <w:iCs/>
          <w:sz w:val="22"/>
          <w:szCs w:val="22"/>
        </w:rPr>
        <w:t>’</w:t>
      </w:r>
      <w:r w:rsidRPr="00137DC3">
        <w:rPr>
          <w:i/>
          <w:iCs/>
          <w:sz w:val="22"/>
          <w:szCs w:val="22"/>
        </w:rPr>
        <w:t xml:space="preserve">Union Africaine « Tirer pleinement profit du dividende démographique en investissant dans la jeunesse » </w:t>
      </w:r>
      <w:r w:rsidR="00137E5C" w:rsidRPr="00137DC3">
        <w:rPr>
          <w:i/>
          <w:iCs/>
          <w:sz w:val="22"/>
          <w:szCs w:val="22"/>
        </w:rPr>
        <w:t>(2016)</w:t>
      </w:r>
    </w:p>
    <w:p w14:paraId="3A722208" w14:textId="1DB94C8C" w:rsidR="00BD55E5" w:rsidRPr="002201F5" w:rsidRDefault="00C238D4">
      <w:pPr>
        <w:pStyle w:val="NormalWeb"/>
        <w:numPr>
          <w:ilvl w:val="0"/>
          <w:numId w:val="2"/>
        </w:numPr>
        <w:jc w:val="both"/>
        <w:rPr>
          <w:i/>
          <w:iCs/>
          <w:sz w:val="22"/>
          <w:szCs w:val="22"/>
        </w:rPr>
      </w:pPr>
      <w:r w:rsidRPr="002201F5">
        <w:rPr>
          <w:i/>
          <w:iCs/>
          <w:sz w:val="22"/>
          <w:szCs w:val="22"/>
        </w:rPr>
        <w:t>Déclaration politique sur le VIH et le SIDA : mettre fin aux inégalités et agir pour vaincre le SIDA d</w:t>
      </w:r>
      <w:r w:rsidR="00570944">
        <w:rPr>
          <w:i/>
          <w:iCs/>
          <w:sz w:val="22"/>
          <w:szCs w:val="22"/>
        </w:rPr>
        <w:t>’</w:t>
      </w:r>
      <w:r w:rsidRPr="002201F5">
        <w:rPr>
          <w:i/>
          <w:iCs/>
          <w:sz w:val="22"/>
          <w:szCs w:val="22"/>
        </w:rPr>
        <w:t>ici à 2030</w:t>
      </w:r>
      <w:r w:rsidR="002201F5">
        <w:rPr>
          <w:i/>
          <w:iCs/>
          <w:sz w:val="22"/>
          <w:szCs w:val="22"/>
        </w:rPr>
        <w:t xml:space="preserve"> (2021)</w:t>
      </w:r>
    </w:p>
    <w:p w14:paraId="31E51BEB" w14:textId="21970A48" w:rsidR="00597BAF" w:rsidRPr="00137DC3" w:rsidRDefault="003C164C">
      <w:pPr>
        <w:pStyle w:val="NormalWeb"/>
        <w:jc w:val="both"/>
        <w:rPr>
          <w:b/>
          <w:bCs/>
          <w:sz w:val="22"/>
          <w:szCs w:val="22"/>
        </w:rPr>
      </w:pPr>
      <w:r w:rsidRPr="00137DC3">
        <w:rPr>
          <w:b/>
          <w:bCs/>
          <w:sz w:val="22"/>
          <w:szCs w:val="22"/>
        </w:rPr>
        <w:t>Droits humains</w:t>
      </w:r>
    </w:p>
    <w:p w14:paraId="1B249AD1" w14:textId="24E58E3E" w:rsidR="00003E7F" w:rsidRDefault="00003E7F">
      <w:pPr>
        <w:pStyle w:val="NormalWeb"/>
        <w:numPr>
          <w:ilvl w:val="0"/>
          <w:numId w:val="2"/>
        </w:numPr>
        <w:jc w:val="both"/>
        <w:rPr>
          <w:i/>
          <w:iCs/>
          <w:sz w:val="22"/>
          <w:szCs w:val="22"/>
        </w:rPr>
      </w:pPr>
      <w:r>
        <w:rPr>
          <w:i/>
          <w:iCs/>
          <w:sz w:val="22"/>
          <w:szCs w:val="22"/>
        </w:rPr>
        <w:t>Convention de l’UNESCO sur la lutte contre la discrimination dans le domaine de l’enseignement (1960)</w:t>
      </w:r>
    </w:p>
    <w:p w14:paraId="14FD3E31" w14:textId="58A70982" w:rsidR="00D7455B" w:rsidRPr="00137DC3" w:rsidRDefault="00D7455B">
      <w:pPr>
        <w:pStyle w:val="NormalWeb"/>
        <w:numPr>
          <w:ilvl w:val="0"/>
          <w:numId w:val="2"/>
        </w:numPr>
        <w:jc w:val="both"/>
        <w:rPr>
          <w:i/>
          <w:iCs/>
          <w:sz w:val="22"/>
          <w:szCs w:val="22"/>
        </w:rPr>
      </w:pPr>
      <w:r w:rsidRPr="00137DC3">
        <w:rPr>
          <w:i/>
          <w:iCs/>
          <w:sz w:val="22"/>
          <w:szCs w:val="22"/>
        </w:rPr>
        <w:t>Pacte international relatif aux droits économiques, sociaux et culturels (1966)</w:t>
      </w:r>
    </w:p>
    <w:p w14:paraId="5AFC87D4" w14:textId="34D9572C" w:rsidR="009C4B53" w:rsidRPr="00137DC3" w:rsidRDefault="009C4B53">
      <w:pPr>
        <w:pStyle w:val="NormalWeb"/>
        <w:numPr>
          <w:ilvl w:val="0"/>
          <w:numId w:val="2"/>
        </w:numPr>
        <w:jc w:val="both"/>
        <w:rPr>
          <w:i/>
          <w:iCs/>
          <w:sz w:val="22"/>
          <w:szCs w:val="22"/>
        </w:rPr>
      </w:pPr>
      <w:r w:rsidRPr="00137DC3">
        <w:rPr>
          <w:i/>
          <w:iCs/>
          <w:sz w:val="22"/>
          <w:szCs w:val="22"/>
        </w:rPr>
        <w:t>Convention sur l</w:t>
      </w:r>
      <w:r w:rsidR="00570944">
        <w:rPr>
          <w:i/>
          <w:iCs/>
          <w:sz w:val="22"/>
          <w:szCs w:val="22"/>
        </w:rPr>
        <w:t>’</w:t>
      </w:r>
      <w:r w:rsidRPr="00137DC3">
        <w:rPr>
          <w:i/>
          <w:iCs/>
          <w:sz w:val="22"/>
          <w:szCs w:val="22"/>
        </w:rPr>
        <w:t>élimination de toutes les formes de discrimination à l</w:t>
      </w:r>
      <w:r w:rsidR="00570944">
        <w:rPr>
          <w:i/>
          <w:iCs/>
          <w:sz w:val="22"/>
          <w:szCs w:val="22"/>
        </w:rPr>
        <w:t>’</w:t>
      </w:r>
      <w:r w:rsidRPr="00137DC3">
        <w:rPr>
          <w:i/>
          <w:iCs/>
          <w:sz w:val="22"/>
          <w:szCs w:val="22"/>
        </w:rPr>
        <w:t>égard des femmes (1979)</w:t>
      </w:r>
    </w:p>
    <w:p w14:paraId="39AA4156" w14:textId="2CE3915E" w:rsidR="00EF17FD" w:rsidRPr="00137DC3" w:rsidRDefault="00EF17FD">
      <w:pPr>
        <w:pStyle w:val="NormalWeb"/>
        <w:numPr>
          <w:ilvl w:val="0"/>
          <w:numId w:val="2"/>
        </w:numPr>
        <w:jc w:val="both"/>
        <w:rPr>
          <w:i/>
          <w:iCs/>
          <w:sz w:val="22"/>
          <w:szCs w:val="22"/>
        </w:rPr>
      </w:pPr>
      <w:r w:rsidRPr="00137DC3">
        <w:rPr>
          <w:i/>
          <w:iCs/>
          <w:sz w:val="22"/>
          <w:szCs w:val="22"/>
        </w:rPr>
        <w:t>Charte africaine des droits de l</w:t>
      </w:r>
      <w:r w:rsidR="00570944">
        <w:rPr>
          <w:i/>
          <w:iCs/>
          <w:sz w:val="22"/>
          <w:szCs w:val="22"/>
        </w:rPr>
        <w:t>’</w:t>
      </w:r>
      <w:r w:rsidRPr="00137DC3">
        <w:rPr>
          <w:i/>
          <w:iCs/>
          <w:sz w:val="22"/>
          <w:szCs w:val="22"/>
        </w:rPr>
        <w:t>homme et des peuples (1981)</w:t>
      </w:r>
    </w:p>
    <w:p w14:paraId="3006BD8D" w14:textId="6326C7F8" w:rsidR="00EF17FD" w:rsidRPr="00137DC3" w:rsidRDefault="00EF17FD">
      <w:pPr>
        <w:pStyle w:val="NormalWeb"/>
        <w:numPr>
          <w:ilvl w:val="0"/>
          <w:numId w:val="2"/>
        </w:numPr>
        <w:jc w:val="both"/>
        <w:rPr>
          <w:i/>
          <w:iCs/>
          <w:sz w:val="22"/>
          <w:szCs w:val="22"/>
        </w:rPr>
      </w:pPr>
      <w:r w:rsidRPr="00137DC3">
        <w:rPr>
          <w:i/>
          <w:iCs/>
          <w:sz w:val="22"/>
          <w:szCs w:val="22"/>
        </w:rPr>
        <w:t>Charte africaine des droits et du bien-être de l</w:t>
      </w:r>
      <w:r w:rsidR="00570944">
        <w:rPr>
          <w:i/>
          <w:iCs/>
          <w:sz w:val="22"/>
          <w:szCs w:val="22"/>
        </w:rPr>
        <w:t>’</w:t>
      </w:r>
      <w:r w:rsidRPr="00137DC3">
        <w:rPr>
          <w:i/>
          <w:iCs/>
          <w:sz w:val="22"/>
          <w:szCs w:val="22"/>
        </w:rPr>
        <w:t>enfant (1990)</w:t>
      </w:r>
    </w:p>
    <w:p w14:paraId="21ECBF40" w14:textId="5DF403EF" w:rsidR="00C45C33" w:rsidRPr="00137DC3" w:rsidRDefault="00C84252">
      <w:pPr>
        <w:pStyle w:val="NormalWeb"/>
        <w:numPr>
          <w:ilvl w:val="0"/>
          <w:numId w:val="2"/>
        </w:numPr>
        <w:jc w:val="both"/>
        <w:rPr>
          <w:i/>
          <w:iCs/>
          <w:sz w:val="22"/>
          <w:szCs w:val="22"/>
        </w:rPr>
      </w:pPr>
      <w:r w:rsidRPr="00137DC3">
        <w:rPr>
          <w:i/>
          <w:iCs/>
          <w:sz w:val="22"/>
          <w:szCs w:val="22"/>
        </w:rPr>
        <w:t>Convention internationale relative aux droits de l</w:t>
      </w:r>
      <w:r w:rsidR="00570944">
        <w:rPr>
          <w:i/>
          <w:iCs/>
          <w:sz w:val="22"/>
          <w:szCs w:val="22"/>
        </w:rPr>
        <w:t>’</w:t>
      </w:r>
      <w:r w:rsidRPr="00137DC3">
        <w:rPr>
          <w:i/>
          <w:iCs/>
          <w:sz w:val="22"/>
          <w:szCs w:val="22"/>
        </w:rPr>
        <w:t>enfant</w:t>
      </w:r>
      <w:r w:rsidR="00597BAF" w:rsidRPr="00137DC3">
        <w:rPr>
          <w:i/>
          <w:iCs/>
          <w:sz w:val="22"/>
          <w:szCs w:val="22"/>
        </w:rPr>
        <w:t xml:space="preserve"> </w:t>
      </w:r>
      <w:r w:rsidR="006D00E0" w:rsidRPr="00137DC3">
        <w:rPr>
          <w:i/>
          <w:iCs/>
          <w:sz w:val="22"/>
          <w:szCs w:val="22"/>
        </w:rPr>
        <w:t>(</w:t>
      </w:r>
      <w:r w:rsidR="00597BAF" w:rsidRPr="00137DC3">
        <w:rPr>
          <w:i/>
          <w:iCs/>
          <w:sz w:val="22"/>
          <w:szCs w:val="22"/>
        </w:rPr>
        <w:t>1990</w:t>
      </w:r>
      <w:r w:rsidR="006D00E0" w:rsidRPr="00137DC3">
        <w:rPr>
          <w:i/>
          <w:iCs/>
          <w:sz w:val="22"/>
          <w:szCs w:val="22"/>
        </w:rPr>
        <w:t>)</w:t>
      </w:r>
    </w:p>
    <w:p w14:paraId="7F2A7308" w14:textId="5C564E82" w:rsidR="007D10DD" w:rsidRPr="00137DC3" w:rsidRDefault="007D10DD">
      <w:pPr>
        <w:pStyle w:val="NormalWeb"/>
        <w:numPr>
          <w:ilvl w:val="0"/>
          <w:numId w:val="2"/>
        </w:numPr>
        <w:jc w:val="both"/>
        <w:rPr>
          <w:i/>
          <w:iCs/>
          <w:sz w:val="22"/>
          <w:szCs w:val="22"/>
        </w:rPr>
      </w:pPr>
      <w:r w:rsidRPr="00137DC3">
        <w:rPr>
          <w:i/>
          <w:iCs/>
          <w:sz w:val="22"/>
          <w:szCs w:val="22"/>
        </w:rPr>
        <w:t>Protocole à la Charte africaine des droits de l</w:t>
      </w:r>
      <w:r w:rsidR="00570944">
        <w:rPr>
          <w:i/>
          <w:iCs/>
          <w:sz w:val="22"/>
          <w:szCs w:val="22"/>
        </w:rPr>
        <w:t>’</w:t>
      </w:r>
      <w:r w:rsidRPr="00137DC3">
        <w:rPr>
          <w:i/>
          <w:iCs/>
          <w:sz w:val="22"/>
          <w:szCs w:val="22"/>
        </w:rPr>
        <w:t>homme et des peuples relatif aux droits des femmes – Protocole de Maputo (2003)</w:t>
      </w:r>
    </w:p>
    <w:p w14:paraId="54A0B4C4" w14:textId="2BFEFA43" w:rsidR="00C45C33" w:rsidRPr="00137DC3" w:rsidRDefault="0007466A">
      <w:pPr>
        <w:pStyle w:val="NormalWeb"/>
        <w:numPr>
          <w:ilvl w:val="0"/>
          <w:numId w:val="2"/>
        </w:numPr>
        <w:jc w:val="both"/>
        <w:rPr>
          <w:i/>
          <w:iCs/>
          <w:sz w:val="22"/>
          <w:szCs w:val="22"/>
        </w:rPr>
      </w:pPr>
      <w:r w:rsidRPr="00137DC3">
        <w:rPr>
          <w:i/>
          <w:iCs/>
          <w:sz w:val="22"/>
          <w:szCs w:val="22"/>
        </w:rPr>
        <w:lastRenderedPageBreak/>
        <w:t>Déclaration solennelle sur l</w:t>
      </w:r>
      <w:r w:rsidR="00570944">
        <w:rPr>
          <w:i/>
          <w:iCs/>
          <w:sz w:val="22"/>
          <w:szCs w:val="22"/>
        </w:rPr>
        <w:t>’</w:t>
      </w:r>
      <w:r w:rsidRPr="00137DC3">
        <w:rPr>
          <w:i/>
          <w:iCs/>
          <w:sz w:val="22"/>
          <w:szCs w:val="22"/>
        </w:rPr>
        <w:t xml:space="preserve">égalité </w:t>
      </w:r>
      <w:r w:rsidR="00FE7FEE" w:rsidRPr="00137DC3">
        <w:rPr>
          <w:i/>
          <w:iCs/>
          <w:sz w:val="22"/>
          <w:szCs w:val="22"/>
        </w:rPr>
        <w:t>entre les hommes et les femmes en</w:t>
      </w:r>
      <w:r w:rsidRPr="00137DC3">
        <w:rPr>
          <w:i/>
          <w:iCs/>
          <w:sz w:val="22"/>
          <w:szCs w:val="22"/>
        </w:rPr>
        <w:t xml:space="preserve"> Afrique (</w:t>
      </w:r>
      <w:r w:rsidR="00597BAF" w:rsidRPr="00137DC3">
        <w:rPr>
          <w:i/>
          <w:iCs/>
          <w:sz w:val="22"/>
          <w:szCs w:val="22"/>
        </w:rPr>
        <w:t>2004</w:t>
      </w:r>
      <w:r w:rsidRPr="00137DC3">
        <w:rPr>
          <w:i/>
          <w:iCs/>
          <w:sz w:val="22"/>
          <w:szCs w:val="22"/>
        </w:rPr>
        <w:t>)</w:t>
      </w:r>
    </w:p>
    <w:p w14:paraId="0FDBBBE4" w14:textId="575B248B" w:rsidR="00C45C33" w:rsidRPr="00137DC3" w:rsidRDefault="00ED207E">
      <w:pPr>
        <w:pStyle w:val="NormalWeb"/>
        <w:numPr>
          <w:ilvl w:val="0"/>
          <w:numId w:val="2"/>
        </w:numPr>
        <w:jc w:val="both"/>
        <w:rPr>
          <w:i/>
          <w:iCs/>
          <w:sz w:val="22"/>
          <w:szCs w:val="22"/>
        </w:rPr>
      </w:pPr>
      <w:r w:rsidRPr="00137DC3">
        <w:rPr>
          <w:i/>
          <w:iCs/>
          <w:sz w:val="22"/>
          <w:szCs w:val="22"/>
        </w:rPr>
        <w:t>Charte africaine de la jeunesse</w:t>
      </w:r>
      <w:r w:rsidR="00597BAF" w:rsidRPr="00137DC3">
        <w:rPr>
          <w:i/>
          <w:iCs/>
          <w:sz w:val="22"/>
          <w:szCs w:val="22"/>
        </w:rPr>
        <w:t xml:space="preserve"> </w:t>
      </w:r>
      <w:r w:rsidRPr="00137DC3">
        <w:rPr>
          <w:i/>
          <w:iCs/>
          <w:sz w:val="22"/>
          <w:szCs w:val="22"/>
        </w:rPr>
        <w:t>(</w:t>
      </w:r>
      <w:r w:rsidR="00597BAF" w:rsidRPr="00137DC3">
        <w:rPr>
          <w:i/>
          <w:iCs/>
          <w:sz w:val="22"/>
          <w:szCs w:val="22"/>
        </w:rPr>
        <w:t>2006</w:t>
      </w:r>
      <w:r w:rsidRPr="00137DC3">
        <w:rPr>
          <w:i/>
          <w:iCs/>
          <w:sz w:val="22"/>
          <w:szCs w:val="22"/>
        </w:rPr>
        <w:t>)</w:t>
      </w:r>
    </w:p>
    <w:p w14:paraId="6934DC6E" w14:textId="33BA6A05" w:rsidR="00DD2A84" w:rsidRPr="00137DC3" w:rsidRDefault="00DD2A84">
      <w:pPr>
        <w:pStyle w:val="NormalWeb"/>
        <w:numPr>
          <w:ilvl w:val="0"/>
          <w:numId w:val="2"/>
        </w:numPr>
        <w:jc w:val="both"/>
        <w:rPr>
          <w:i/>
          <w:iCs/>
          <w:sz w:val="22"/>
          <w:szCs w:val="22"/>
        </w:rPr>
      </w:pPr>
      <w:r w:rsidRPr="00137DC3">
        <w:rPr>
          <w:i/>
          <w:iCs/>
          <w:sz w:val="22"/>
          <w:szCs w:val="22"/>
        </w:rPr>
        <w:t>Position africaine commune sur la Campagne de l</w:t>
      </w:r>
      <w:r w:rsidR="00570944">
        <w:rPr>
          <w:i/>
          <w:iCs/>
          <w:sz w:val="22"/>
          <w:szCs w:val="22"/>
        </w:rPr>
        <w:t>’</w:t>
      </w:r>
      <w:r w:rsidRPr="00137DC3">
        <w:rPr>
          <w:i/>
          <w:iCs/>
          <w:sz w:val="22"/>
          <w:szCs w:val="22"/>
        </w:rPr>
        <w:t>Union africaine « Mettre fin au mariage des enfants en Afrique » et Déclaration Finale du Premier Sommet des Filles Africaines sur l</w:t>
      </w:r>
      <w:r w:rsidR="00570944">
        <w:rPr>
          <w:i/>
          <w:iCs/>
          <w:sz w:val="22"/>
          <w:szCs w:val="22"/>
        </w:rPr>
        <w:t>’</w:t>
      </w:r>
      <w:r w:rsidRPr="00137DC3">
        <w:rPr>
          <w:i/>
          <w:iCs/>
          <w:sz w:val="22"/>
          <w:szCs w:val="22"/>
        </w:rPr>
        <w:t>élimination du mariage des enfants en Afrique (2015)</w:t>
      </w:r>
    </w:p>
    <w:p w14:paraId="6C0BF61F" w14:textId="6C6CCD24" w:rsidR="00EB5662" w:rsidRPr="00137DC3" w:rsidRDefault="00686822">
      <w:pPr>
        <w:pStyle w:val="NormalWeb"/>
        <w:numPr>
          <w:ilvl w:val="0"/>
          <w:numId w:val="2"/>
        </w:numPr>
        <w:jc w:val="both"/>
        <w:rPr>
          <w:i/>
          <w:iCs/>
          <w:sz w:val="22"/>
          <w:szCs w:val="22"/>
        </w:rPr>
      </w:pPr>
      <w:r w:rsidRPr="00137DC3">
        <w:rPr>
          <w:i/>
          <w:iCs/>
          <w:sz w:val="22"/>
          <w:szCs w:val="22"/>
        </w:rPr>
        <w:t>Plan d</w:t>
      </w:r>
      <w:r w:rsidR="00570944">
        <w:rPr>
          <w:i/>
          <w:iCs/>
          <w:sz w:val="22"/>
          <w:szCs w:val="22"/>
        </w:rPr>
        <w:t>’</w:t>
      </w:r>
      <w:r w:rsidRPr="00137DC3">
        <w:rPr>
          <w:i/>
          <w:iCs/>
          <w:sz w:val="22"/>
          <w:szCs w:val="22"/>
        </w:rPr>
        <w:t>action de la Décennie de la jeunesse de l</w:t>
      </w:r>
      <w:r w:rsidR="00570944">
        <w:rPr>
          <w:i/>
          <w:iCs/>
          <w:sz w:val="22"/>
          <w:szCs w:val="22"/>
        </w:rPr>
        <w:t>’</w:t>
      </w:r>
      <w:r w:rsidRPr="00137DC3">
        <w:rPr>
          <w:i/>
          <w:iCs/>
          <w:sz w:val="22"/>
          <w:szCs w:val="22"/>
        </w:rPr>
        <w:t>Union africaine (</w:t>
      </w:r>
      <w:r w:rsidR="00597BAF" w:rsidRPr="00137DC3">
        <w:rPr>
          <w:i/>
          <w:iCs/>
          <w:sz w:val="22"/>
          <w:szCs w:val="22"/>
        </w:rPr>
        <w:t>2008-2019</w:t>
      </w:r>
      <w:r w:rsidRPr="00137DC3">
        <w:rPr>
          <w:i/>
          <w:iCs/>
          <w:sz w:val="22"/>
          <w:szCs w:val="22"/>
        </w:rPr>
        <w:t>)</w:t>
      </w:r>
    </w:p>
    <w:p w14:paraId="3E9014F0" w14:textId="09C2B678" w:rsidR="00736FD3" w:rsidRPr="00137DC3" w:rsidRDefault="00736FD3">
      <w:pPr>
        <w:pStyle w:val="NormalWeb"/>
        <w:jc w:val="both"/>
        <w:rPr>
          <w:b/>
          <w:bCs/>
          <w:i/>
          <w:iCs/>
          <w:color w:val="000000"/>
          <w:sz w:val="22"/>
          <w:szCs w:val="22"/>
          <w:u w:val="single"/>
        </w:rPr>
      </w:pPr>
      <w:r w:rsidRPr="00137DC3">
        <w:rPr>
          <w:b/>
          <w:bCs/>
          <w:i/>
          <w:iCs/>
          <w:color w:val="000000"/>
          <w:sz w:val="22"/>
          <w:szCs w:val="22"/>
          <w:u w:val="single"/>
        </w:rPr>
        <w:t xml:space="preserve">Liste des pays </w:t>
      </w:r>
      <w:r w:rsidR="000B5375" w:rsidRPr="00137DC3">
        <w:rPr>
          <w:b/>
          <w:bCs/>
          <w:i/>
          <w:iCs/>
          <w:color w:val="000000"/>
          <w:sz w:val="22"/>
          <w:szCs w:val="22"/>
          <w:u w:val="single"/>
        </w:rPr>
        <w:t>qui participent à</w:t>
      </w:r>
      <w:r w:rsidRPr="00137DC3">
        <w:rPr>
          <w:b/>
          <w:bCs/>
          <w:i/>
          <w:iCs/>
          <w:color w:val="000000"/>
          <w:sz w:val="22"/>
          <w:szCs w:val="22"/>
          <w:u w:val="single"/>
        </w:rPr>
        <w:t xml:space="preserve"> l</w:t>
      </w:r>
      <w:r w:rsidR="00570944">
        <w:rPr>
          <w:b/>
          <w:bCs/>
          <w:i/>
          <w:iCs/>
          <w:color w:val="000000"/>
          <w:sz w:val="22"/>
          <w:szCs w:val="22"/>
          <w:u w:val="single"/>
        </w:rPr>
        <w:t>’</w:t>
      </w:r>
      <w:r w:rsidRPr="00137DC3">
        <w:rPr>
          <w:b/>
          <w:bCs/>
          <w:i/>
          <w:iCs/>
          <w:color w:val="000000"/>
          <w:sz w:val="22"/>
          <w:szCs w:val="22"/>
          <w:u w:val="single"/>
        </w:rPr>
        <w:t>Engagement</w:t>
      </w:r>
      <w:r w:rsidR="000B5375" w:rsidRPr="00137DC3">
        <w:rPr>
          <w:b/>
          <w:bCs/>
          <w:i/>
          <w:iCs/>
          <w:color w:val="000000"/>
          <w:sz w:val="22"/>
          <w:szCs w:val="22"/>
          <w:u w:val="single"/>
        </w:rPr>
        <w:t xml:space="preserve"> de l</w:t>
      </w:r>
      <w:r w:rsidR="00570944">
        <w:rPr>
          <w:b/>
          <w:bCs/>
          <w:i/>
          <w:iCs/>
          <w:color w:val="000000"/>
          <w:sz w:val="22"/>
          <w:szCs w:val="22"/>
          <w:u w:val="single"/>
        </w:rPr>
        <w:t>’</w:t>
      </w:r>
      <w:r w:rsidR="000B5375" w:rsidRPr="00137DC3">
        <w:rPr>
          <w:b/>
          <w:bCs/>
          <w:i/>
          <w:iCs/>
          <w:color w:val="000000"/>
          <w:sz w:val="22"/>
          <w:szCs w:val="22"/>
          <w:u w:val="single"/>
        </w:rPr>
        <w:t>AOC</w:t>
      </w:r>
    </w:p>
    <w:p w14:paraId="1B1C05DA" w14:textId="69FC111E" w:rsidR="001B1602" w:rsidRPr="00137DC3" w:rsidRDefault="00BF6507">
      <w:pPr>
        <w:pStyle w:val="NormalWeb"/>
        <w:jc w:val="both"/>
        <w:rPr>
          <w:sz w:val="18"/>
          <w:szCs w:val="18"/>
        </w:rPr>
      </w:pPr>
      <w:r w:rsidRPr="00137DC3">
        <w:rPr>
          <w:color w:val="000000"/>
          <w:sz w:val="22"/>
          <w:szCs w:val="22"/>
        </w:rPr>
        <w:t>[</w:t>
      </w:r>
      <w:r w:rsidRPr="00137DC3">
        <w:rPr>
          <w:color w:val="000000"/>
          <w:sz w:val="22"/>
          <w:szCs w:val="22"/>
          <w:highlight w:val="yellow"/>
        </w:rPr>
        <w:t>à compléter</w:t>
      </w:r>
      <w:r w:rsidRPr="00137DC3">
        <w:rPr>
          <w:color w:val="000000"/>
          <w:sz w:val="22"/>
          <w:szCs w:val="22"/>
        </w:rPr>
        <w:t>]</w:t>
      </w:r>
    </w:p>
    <w:sectPr w:rsidR="001B1602" w:rsidRPr="00137DC3" w:rsidSect="00B90117">
      <w:footerReference w:type="default" r:id="rId9"/>
      <w:pgSz w:w="11906" w:h="16838"/>
      <w:pgMar w:top="1417"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31AC" w14:textId="77777777" w:rsidR="00780C0B" w:rsidRDefault="00780C0B" w:rsidP="002B667D">
      <w:pPr>
        <w:spacing w:after="0" w:line="240" w:lineRule="auto"/>
      </w:pPr>
      <w:r>
        <w:separator/>
      </w:r>
    </w:p>
  </w:endnote>
  <w:endnote w:type="continuationSeparator" w:id="0">
    <w:p w14:paraId="58F767D0" w14:textId="77777777" w:rsidR="00780C0B" w:rsidRDefault="00780C0B" w:rsidP="002B667D">
      <w:pPr>
        <w:spacing w:after="0" w:line="240" w:lineRule="auto"/>
      </w:pPr>
      <w:r>
        <w:continuationSeparator/>
      </w:r>
    </w:p>
  </w:endnote>
  <w:endnote w:type="continuationNotice" w:id="1">
    <w:p w14:paraId="5E454407" w14:textId="77777777" w:rsidR="00780C0B" w:rsidRDefault="00780C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102024"/>
      <w:docPartObj>
        <w:docPartGallery w:val="Page Numbers (Bottom of Page)"/>
        <w:docPartUnique/>
      </w:docPartObj>
    </w:sdtPr>
    <w:sdtEndPr>
      <w:rPr>
        <w:rFonts w:ascii="Times New Roman" w:hAnsi="Times New Roman" w:cs="Times New Roman"/>
        <w:sz w:val="20"/>
        <w:szCs w:val="20"/>
      </w:rPr>
    </w:sdtEndPr>
    <w:sdtContent>
      <w:p w14:paraId="1794FF69" w14:textId="612F9E49" w:rsidR="00D83FC9" w:rsidRPr="002B667D" w:rsidRDefault="00D83FC9">
        <w:pPr>
          <w:pStyle w:val="Footer"/>
          <w:jc w:val="center"/>
          <w:rPr>
            <w:rFonts w:ascii="Times New Roman" w:hAnsi="Times New Roman" w:cs="Times New Roman"/>
            <w:sz w:val="20"/>
            <w:szCs w:val="20"/>
          </w:rPr>
        </w:pPr>
        <w:r w:rsidRPr="002B667D">
          <w:rPr>
            <w:rFonts w:ascii="Times New Roman" w:hAnsi="Times New Roman" w:cs="Times New Roman"/>
            <w:sz w:val="20"/>
            <w:szCs w:val="20"/>
          </w:rPr>
          <w:fldChar w:fldCharType="begin"/>
        </w:r>
        <w:r w:rsidRPr="002B667D">
          <w:rPr>
            <w:rFonts w:ascii="Times New Roman" w:hAnsi="Times New Roman" w:cs="Times New Roman"/>
            <w:sz w:val="20"/>
            <w:szCs w:val="20"/>
          </w:rPr>
          <w:instrText>PAGE   \* MERGEFORMAT</w:instrText>
        </w:r>
        <w:r w:rsidRPr="002B667D">
          <w:rPr>
            <w:rFonts w:ascii="Times New Roman" w:hAnsi="Times New Roman" w:cs="Times New Roman"/>
            <w:sz w:val="20"/>
            <w:szCs w:val="20"/>
          </w:rPr>
          <w:fldChar w:fldCharType="separate"/>
        </w:r>
        <w:r w:rsidR="00015889">
          <w:rPr>
            <w:rFonts w:ascii="Times New Roman" w:hAnsi="Times New Roman" w:cs="Times New Roman"/>
            <w:noProof/>
            <w:sz w:val="20"/>
            <w:szCs w:val="20"/>
          </w:rPr>
          <w:t>10</w:t>
        </w:r>
        <w:r w:rsidRPr="002B667D">
          <w:rPr>
            <w:rFonts w:ascii="Times New Roman" w:hAnsi="Times New Roman" w:cs="Times New Roman"/>
            <w:sz w:val="20"/>
            <w:szCs w:val="20"/>
          </w:rPr>
          <w:fldChar w:fldCharType="end"/>
        </w:r>
      </w:p>
    </w:sdtContent>
  </w:sdt>
  <w:p w14:paraId="2181A08B" w14:textId="77777777" w:rsidR="00D83FC9" w:rsidRDefault="00D83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0E22" w14:textId="77777777" w:rsidR="00780C0B" w:rsidRDefault="00780C0B" w:rsidP="002B667D">
      <w:pPr>
        <w:spacing w:after="0" w:line="240" w:lineRule="auto"/>
      </w:pPr>
      <w:r>
        <w:separator/>
      </w:r>
    </w:p>
  </w:footnote>
  <w:footnote w:type="continuationSeparator" w:id="0">
    <w:p w14:paraId="4FC6614E" w14:textId="77777777" w:rsidR="00780C0B" w:rsidRDefault="00780C0B" w:rsidP="002B667D">
      <w:pPr>
        <w:spacing w:after="0" w:line="240" w:lineRule="auto"/>
      </w:pPr>
      <w:r>
        <w:continuationSeparator/>
      </w:r>
    </w:p>
  </w:footnote>
  <w:footnote w:type="continuationNotice" w:id="1">
    <w:p w14:paraId="1211D5E8" w14:textId="77777777" w:rsidR="00780C0B" w:rsidRDefault="00780C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8F8"/>
    <w:multiLevelType w:val="multilevel"/>
    <w:tmpl w:val="CA9A2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94873"/>
    <w:multiLevelType w:val="hybridMultilevel"/>
    <w:tmpl w:val="55DA1774"/>
    <w:lvl w:ilvl="0" w:tplc="0EF8A74C">
      <w:start w:val="1"/>
      <w:numFmt w:val="decimal"/>
      <w:pStyle w:val="Heading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E119D6"/>
    <w:multiLevelType w:val="hybridMultilevel"/>
    <w:tmpl w:val="5AE0D7DC"/>
    <w:lvl w:ilvl="0" w:tplc="E0968F78">
      <w:start w:val="5"/>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871EB0"/>
    <w:multiLevelType w:val="hybridMultilevel"/>
    <w:tmpl w:val="159C82D6"/>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4" w15:restartNumberingAfterBreak="0">
    <w:nsid w:val="41C8692B"/>
    <w:multiLevelType w:val="hybridMultilevel"/>
    <w:tmpl w:val="C10EB6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4570DB0"/>
    <w:multiLevelType w:val="hybridMultilevel"/>
    <w:tmpl w:val="45064DF0"/>
    <w:lvl w:ilvl="0" w:tplc="66320162">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7144BE"/>
    <w:multiLevelType w:val="hybridMultilevel"/>
    <w:tmpl w:val="EA0EC3B4"/>
    <w:lvl w:ilvl="0" w:tplc="E0968F78">
      <w:start w:val="5"/>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9D2AFB"/>
    <w:multiLevelType w:val="hybridMultilevel"/>
    <w:tmpl w:val="0444EF84"/>
    <w:lvl w:ilvl="0" w:tplc="CE74D850">
      <w:start w:val="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A2D4285"/>
    <w:multiLevelType w:val="hybridMultilevel"/>
    <w:tmpl w:val="E23A69E0"/>
    <w:lvl w:ilvl="0" w:tplc="808889C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3E7DED"/>
    <w:multiLevelType w:val="hybridMultilevel"/>
    <w:tmpl w:val="7D62BDF8"/>
    <w:lvl w:ilvl="0" w:tplc="E0968F78">
      <w:start w:val="5"/>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811DE7"/>
    <w:multiLevelType w:val="hybridMultilevel"/>
    <w:tmpl w:val="D4BCC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2D34B2"/>
    <w:multiLevelType w:val="hybridMultilevel"/>
    <w:tmpl w:val="9168AE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FA26066"/>
    <w:multiLevelType w:val="hybridMultilevel"/>
    <w:tmpl w:val="6F36FE82"/>
    <w:lvl w:ilvl="0" w:tplc="A108512C">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45053"/>
    <w:multiLevelType w:val="hybridMultilevel"/>
    <w:tmpl w:val="E9285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8555872">
    <w:abstractNumId w:val="5"/>
  </w:num>
  <w:num w:numId="2" w16cid:durableId="1692607086">
    <w:abstractNumId w:val="2"/>
  </w:num>
  <w:num w:numId="3" w16cid:durableId="382677334">
    <w:abstractNumId w:val="3"/>
  </w:num>
  <w:num w:numId="4" w16cid:durableId="555581087">
    <w:abstractNumId w:val="10"/>
  </w:num>
  <w:num w:numId="5" w16cid:durableId="470364760">
    <w:abstractNumId w:val="6"/>
  </w:num>
  <w:num w:numId="6" w16cid:durableId="529531802">
    <w:abstractNumId w:val="9"/>
  </w:num>
  <w:num w:numId="7" w16cid:durableId="917132688">
    <w:abstractNumId w:val="0"/>
  </w:num>
  <w:num w:numId="8" w16cid:durableId="1884638897">
    <w:abstractNumId w:val="1"/>
  </w:num>
  <w:num w:numId="9" w16cid:durableId="435445322">
    <w:abstractNumId w:val="11"/>
  </w:num>
  <w:num w:numId="10" w16cid:durableId="451443947">
    <w:abstractNumId w:val="4"/>
  </w:num>
  <w:num w:numId="11" w16cid:durableId="2105684436">
    <w:abstractNumId w:val="13"/>
  </w:num>
  <w:num w:numId="12" w16cid:durableId="1005716674">
    <w:abstractNumId w:val="12"/>
  </w:num>
  <w:num w:numId="13" w16cid:durableId="1828592283">
    <w:abstractNumId w:val="7"/>
  </w:num>
  <w:num w:numId="14" w16cid:durableId="723143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02"/>
    <w:rsid w:val="00001A78"/>
    <w:rsid w:val="00003E7F"/>
    <w:rsid w:val="000042EB"/>
    <w:rsid w:val="00006306"/>
    <w:rsid w:val="00015889"/>
    <w:rsid w:val="00016CEC"/>
    <w:rsid w:val="00030B1F"/>
    <w:rsid w:val="00031585"/>
    <w:rsid w:val="00033824"/>
    <w:rsid w:val="000359D0"/>
    <w:rsid w:val="00040D06"/>
    <w:rsid w:val="00041C2D"/>
    <w:rsid w:val="0004484A"/>
    <w:rsid w:val="00044BE8"/>
    <w:rsid w:val="00052658"/>
    <w:rsid w:val="000542BD"/>
    <w:rsid w:val="0005663E"/>
    <w:rsid w:val="00060530"/>
    <w:rsid w:val="00062723"/>
    <w:rsid w:val="000710EF"/>
    <w:rsid w:val="00074136"/>
    <w:rsid w:val="000744E4"/>
    <w:rsid w:val="0007466A"/>
    <w:rsid w:val="00085541"/>
    <w:rsid w:val="00086340"/>
    <w:rsid w:val="00090FFA"/>
    <w:rsid w:val="000A0834"/>
    <w:rsid w:val="000A2846"/>
    <w:rsid w:val="000A37ED"/>
    <w:rsid w:val="000A38AB"/>
    <w:rsid w:val="000A47B2"/>
    <w:rsid w:val="000A7FF3"/>
    <w:rsid w:val="000B15F1"/>
    <w:rsid w:val="000B17D2"/>
    <w:rsid w:val="000B40C5"/>
    <w:rsid w:val="000B4910"/>
    <w:rsid w:val="000B5375"/>
    <w:rsid w:val="000B78B3"/>
    <w:rsid w:val="000C09F7"/>
    <w:rsid w:val="000C2EB5"/>
    <w:rsid w:val="000C3687"/>
    <w:rsid w:val="000D12A1"/>
    <w:rsid w:val="000D2006"/>
    <w:rsid w:val="000E4FAF"/>
    <w:rsid w:val="000F2AB1"/>
    <w:rsid w:val="000F53FE"/>
    <w:rsid w:val="000F7930"/>
    <w:rsid w:val="00100FB8"/>
    <w:rsid w:val="001021BA"/>
    <w:rsid w:val="001110A2"/>
    <w:rsid w:val="001123AF"/>
    <w:rsid w:val="0011735C"/>
    <w:rsid w:val="001228CA"/>
    <w:rsid w:val="00124593"/>
    <w:rsid w:val="00134124"/>
    <w:rsid w:val="00137DC3"/>
    <w:rsid w:val="00137E5C"/>
    <w:rsid w:val="00141117"/>
    <w:rsid w:val="00151013"/>
    <w:rsid w:val="00152085"/>
    <w:rsid w:val="001528B6"/>
    <w:rsid w:val="0015697E"/>
    <w:rsid w:val="00166DBF"/>
    <w:rsid w:val="0016723B"/>
    <w:rsid w:val="0018681A"/>
    <w:rsid w:val="00191DD5"/>
    <w:rsid w:val="001A0B95"/>
    <w:rsid w:val="001B1602"/>
    <w:rsid w:val="001B2513"/>
    <w:rsid w:val="001C2DD4"/>
    <w:rsid w:val="001C4B85"/>
    <w:rsid w:val="001D1470"/>
    <w:rsid w:val="001D16DA"/>
    <w:rsid w:val="001D4648"/>
    <w:rsid w:val="001D7EEC"/>
    <w:rsid w:val="001E2C91"/>
    <w:rsid w:val="001F33C0"/>
    <w:rsid w:val="001F4EED"/>
    <w:rsid w:val="0020172F"/>
    <w:rsid w:val="00201D28"/>
    <w:rsid w:val="00204974"/>
    <w:rsid w:val="00206284"/>
    <w:rsid w:val="00210130"/>
    <w:rsid w:val="00215976"/>
    <w:rsid w:val="00215E23"/>
    <w:rsid w:val="00217B9F"/>
    <w:rsid w:val="002201F5"/>
    <w:rsid w:val="00220317"/>
    <w:rsid w:val="00220A13"/>
    <w:rsid w:val="00226B36"/>
    <w:rsid w:val="00226E15"/>
    <w:rsid w:val="00227796"/>
    <w:rsid w:val="00246348"/>
    <w:rsid w:val="00262F07"/>
    <w:rsid w:val="00265238"/>
    <w:rsid w:val="00272460"/>
    <w:rsid w:val="00277D37"/>
    <w:rsid w:val="00280B25"/>
    <w:rsid w:val="00282DDD"/>
    <w:rsid w:val="00283E68"/>
    <w:rsid w:val="00284572"/>
    <w:rsid w:val="002865A4"/>
    <w:rsid w:val="0029190C"/>
    <w:rsid w:val="002964EA"/>
    <w:rsid w:val="002A2969"/>
    <w:rsid w:val="002A5EE1"/>
    <w:rsid w:val="002A6365"/>
    <w:rsid w:val="002B5C26"/>
    <w:rsid w:val="002B667D"/>
    <w:rsid w:val="002B7ABB"/>
    <w:rsid w:val="002C0FE2"/>
    <w:rsid w:val="002C4E26"/>
    <w:rsid w:val="002C7B95"/>
    <w:rsid w:val="002D14A5"/>
    <w:rsid w:val="002D638E"/>
    <w:rsid w:val="002E3F69"/>
    <w:rsid w:val="002E6063"/>
    <w:rsid w:val="002F05E3"/>
    <w:rsid w:val="002F119E"/>
    <w:rsid w:val="002F5118"/>
    <w:rsid w:val="002F7B38"/>
    <w:rsid w:val="00300E3F"/>
    <w:rsid w:val="00307390"/>
    <w:rsid w:val="00311805"/>
    <w:rsid w:val="0031307A"/>
    <w:rsid w:val="00326A02"/>
    <w:rsid w:val="003306D3"/>
    <w:rsid w:val="00332A17"/>
    <w:rsid w:val="00337C07"/>
    <w:rsid w:val="00340387"/>
    <w:rsid w:val="00342081"/>
    <w:rsid w:val="00347BBF"/>
    <w:rsid w:val="00354B04"/>
    <w:rsid w:val="003630F3"/>
    <w:rsid w:val="0036320E"/>
    <w:rsid w:val="00366AE0"/>
    <w:rsid w:val="003722B4"/>
    <w:rsid w:val="00374888"/>
    <w:rsid w:val="00374E44"/>
    <w:rsid w:val="00385230"/>
    <w:rsid w:val="00394AE2"/>
    <w:rsid w:val="003B195D"/>
    <w:rsid w:val="003B5DC3"/>
    <w:rsid w:val="003C164C"/>
    <w:rsid w:val="003C39EA"/>
    <w:rsid w:val="003D1101"/>
    <w:rsid w:val="003D6116"/>
    <w:rsid w:val="003D6FAA"/>
    <w:rsid w:val="003D7959"/>
    <w:rsid w:val="003D7E5D"/>
    <w:rsid w:val="003E06CD"/>
    <w:rsid w:val="003E1AA4"/>
    <w:rsid w:val="003F1604"/>
    <w:rsid w:val="003F267E"/>
    <w:rsid w:val="003F5F6C"/>
    <w:rsid w:val="00400FCC"/>
    <w:rsid w:val="00402FB9"/>
    <w:rsid w:val="00406D7C"/>
    <w:rsid w:val="00407158"/>
    <w:rsid w:val="00414ACC"/>
    <w:rsid w:val="00415585"/>
    <w:rsid w:val="00417AE9"/>
    <w:rsid w:val="00421095"/>
    <w:rsid w:val="00421384"/>
    <w:rsid w:val="00423176"/>
    <w:rsid w:val="00425EBB"/>
    <w:rsid w:val="0042697D"/>
    <w:rsid w:val="00432C91"/>
    <w:rsid w:val="00432D19"/>
    <w:rsid w:val="00434F8A"/>
    <w:rsid w:val="0043718F"/>
    <w:rsid w:val="0044130C"/>
    <w:rsid w:val="00441A78"/>
    <w:rsid w:val="00451975"/>
    <w:rsid w:val="00453207"/>
    <w:rsid w:val="0046009D"/>
    <w:rsid w:val="004655C3"/>
    <w:rsid w:val="0046626A"/>
    <w:rsid w:val="00466D10"/>
    <w:rsid w:val="0047109A"/>
    <w:rsid w:val="004722CE"/>
    <w:rsid w:val="004757F9"/>
    <w:rsid w:val="00475AB4"/>
    <w:rsid w:val="00481777"/>
    <w:rsid w:val="004836E4"/>
    <w:rsid w:val="00484BF2"/>
    <w:rsid w:val="00492EEF"/>
    <w:rsid w:val="004A216F"/>
    <w:rsid w:val="004A33BC"/>
    <w:rsid w:val="004A6DFB"/>
    <w:rsid w:val="004D12AF"/>
    <w:rsid w:val="004D2376"/>
    <w:rsid w:val="004D417F"/>
    <w:rsid w:val="004D44FB"/>
    <w:rsid w:val="004E245E"/>
    <w:rsid w:val="004F0FD9"/>
    <w:rsid w:val="004F1B99"/>
    <w:rsid w:val="005039D7"/>
    <w:rsid w:val="00505B3C"/>
    <w:rsid w:val="005065A2"/>
    <w:rsid w:val="005071FB"/>
    <w:rsid w:val="00511E69"/>
    <w:rsid w:val="00512122"/>
    <w:rsid w:val="0051263F"/>
    <w:rsid w:val="00513067"/>
    <w:rsid w:val="0051521D"/>
    <w:rsid w:val="00522A32"/>
    <w:rsid w:val="00522F5B"/>
    <w:rsid w:val="00525883"/>
    <w:rsid w:val="0052602E"/>
    <w:rsid w:val="005278DF"/>
    <w:rsid w:val="00533B82"/>
    <w:rsid w:val="005361B8"/>
    <w:rsid w:val="00536980"/>
    <w:rsid w:val="005419D2"/>
    <w:rsid w:val="005566C8"/>
    <w:rsid w:val="005604E9"/>
    <w:rsid w:val="005652D2"/>
    <w:rsid w:val="00565F45"/>
    <w:rsid w:val="00567171"/>
    <w:rsid w:val="00570944"/>
    <w:rsid w:val="005725AA"/>
    <w:rsid w:val="00583A7A"/>
    <w:rsid w:val="005876D0"/>
    <w:rsid w:val="005926FF"/>
    <w:rsid w:val="00594C66"/>
    <w:rsid w:val="00596F7D"/>
    <w:rsid w:val="00597BAF"/>
    <w:rsid w:val="005A683E"/>
    <w:rsid w:val="005B152F"/>
    <w:rsid w:val="005B4025"/>
    <w:rsid w:val="005C6C8C"/>
    <w:rsid w:val="005C7265"/>
    <w:rsid w:val="005D36AE"/>
    <w:rsid w:val="005D6937"/>
    <w:rsid w:val="005E405B"/>
    <w:rsid w:val="005F1731"/>
    <w:rsid w:val="00600256"/>
    <w:rsid w:val="00604971"/>
    <w:rsid w:val="006119A1"/>
    <w:rsid w:val="00614F63"/>
    <w:rsid w:val="00615419"/>
    <w:rsid w:val="00615ECE"/>
    <w:rsid w:val="006271C4"/>
    <w:rsid w:val="00631B09"/>
    <w:rsid w:val="00637F5F"/>
    <w:rsid w:val="006404E3"/>
    <w:rsid w:val="00646E6C"/>
    <w:rsid w:val="0064719A"/>
    <w:rsid w:val="0065352B"/>
    <w:rsid w:val="0065662F"/>
    <w:rsid w:val="00657DFF"/>
    <w:rsid w:val="00661F1B"/>
    <w:rsid w:val="00670B8B"/>
    <w:rsid w:val="00686822"/>
    <w:rsid w:val="0069022A"/>
    <w:rsid w:val="00695054"/>
    <w:rsid w:val="006A17D9"/>
    <w:rsid w:val="006B0E33"/>
    <w:rsid w:val="006B195A"/>
    <w:rsid w:val="006B2C01"/>
    <w:rsid w:val="006B4346"/>
    <w:rsid w:val="006B4F74"/>
    <w:rsid w:val="006B61AA"/>
    <w:rsid w:val="006B6CF4"/>
    <w:rsid w:val="006C1760"/>
    <w:rsid w:val="006D00E0"/>
    <w:rsid w:val="006D0820"/>
    <w:rsid w:val="006D3EB0"/>
    <w:rsid w:val="006D4060"/>
    <w:rsid w:val="006E0E42"/>
    <w:rsid w:val="006F636E"/>
    <w:rsid w:val="007119C5"/>
    <w:rsid w:val="00716B00"/>
    <w:rsid w:val="007249C7"/>
    <w:rsid w:val="0073298A"/>
    <w:rsid w:val="0073318F"/>
    <w:rsid w:val="00735707"/>
    <w:rsid w:val="00735767"/>
    <w:rsid w:val="00736B35"/>
    <w:rsid w:val="00736FD3"/>
    <w:rsid w:val="00741279"/>
    <w:rsid w:val="007420C1"/>
    <w:rsid w:val="007426C3"/>
    <w:rsid w:val="00746F68"/>
    <w:rsid w:val="00747546"/>
    <w:rsid w:val="007476C5"/>
    <w:rsid w:val="007501FF"/>
    <w:rsid w:val="007510BD"/>
    <w:rsid w:val="0075123A"/>
    <w:rsid w:val="007522CA"/>
    <w:rsid w:val="00755C3A"/>
    <w:rsid w:val="0076210E"/>
    <w:rsid w:val="007741F3"/>
    <w:rsid w:val="0077708A"/>
    <w:rsid w:val="00780C0B"/>
    <w:rsid w:val="00782170"/>
    <w:rsid w:val="0078385C"/>
    <w:rsid w:val="00786CA7"/>
    <w:rsid w:val="007A5F93"/>
    <w:rsid w:val="007A6FE6"/>
    <w:rsid w:val="007B18CD"/>
    <w:rsid w:val="007B23C2"/>
    <w:rsid w:val="007B27F9"/>
    <w:rsid w:val="007C3AE4"/>
    <w:rsid w:val="007C5E99"/>
    <w:rsid w:val="007C6071"/>
    <w:rsid w:val="007D10DD"/>
    <w:rsid w:val="007D24E0"/>
    <w:rsid w:val="007D2835"/>
    <w:rsid w:val="007D3B86"/>
    <w:rsid w:val="007D7187"/>
    <w:rsid w:val="007D7731"/>
    <w:rsid w:val="007E5225"/>
    <w:rsid w:val="007E71AD"/>
    <w:rsid w:val="007E7E08"/>
    <w:rsid w:val="007F1E72"/>
    <w:rsid w:val="007F249A"/>
    <w:rsid w:val="007F3D08"/>
    <w:rsid w:val="007F7D58"/>
    <w:rsid w:val="008046CE"/>
    <w:rsid w:val="00806515"/>
    <w:rsid w:val="00806880"/>
    <w:rsid w:val="0081055E"/>
    <w:rsid w:val="00812347"/>
    <w:rsid w:val="00813431"/>
    <w:rsid w:val="00823688"/>
    <w:rsid w:val="00823A83"/>
    <w:rsid w:val="008240F3"/>
    <w:rsid w:val="00825197"/>
    <w:rsid w:val="008262EB"/>
    <w:rsid w:val="008355C9"/>
    <w:rsid w:val="00850E23"/>
    <w:rsid w:val="008515FE"/>
    <w:rsid w:val="0085253F"/>
    <w:rsid w:val="00853E99"/>
    <w:rsid w:val="0085401E"/>
    <w:rsid w:val="008607C8"/>
    <w:rsid w:val="00863505"/>
    <w:rsid w:val="0086351D"/>
    <w:rsid w:val="008669D8"/>
    <w:rsid w:val="00872116"/>
    <w:rsid w:val="00877D2B"/>
    <w:rsid w:val="0088087B"/>
    <w:rsid w:val="00897813"/>
    <w:rsid w:val="008A21B2"/>
    <w:rsid w:val="008A31D4"/>
    <w:rsid w:val="008A586B"/>
    <w:rsid w:val="008B362B"/>
    <w:rsid w:val="008B6617"/>
    <w:rsid w:val="008C534A"/>
    <w:rsid w:val="008D0E02"/>
    <w:rsid w:val="008D32E9"/>
    <w:rsid w:val="008D76A2"/>
    <w:rsid w:val="008E567E"/>
    <w:rsid w:val="008F20AC"/>
    <w:rsid w:val="008F25ED"/>
    <w:rsid w:val="009018B1"/>
    <w:rsid w:val="00904681"/>
    <w:rsid w:val="00926D41"/>
    <w:rsid w:val="0093308B"/>
    <w:rsid w:val="00934D09"/>
    <w:rsid w:val="009360E1"/>
    <w:rsid w:val="00937054"/>
    <w:rsid w:val="0094104A"/>
    <w:rsid w:val="00941620"/>
    <w:rsid w:val="00945F56"/>
    <w:rsid w:val="009508B9"/>
    <w:rsid w:val="00955207"/>
    <w:rsid w:val="00955FEA"/>
    <w:rsid w:val="00956F9A"/>
    <w:rsid w:val="00957254"/>
    <w:rsid w:val="0096445C"/>
    <w:rsid w:val="00966267"/>
    <w:rsid w:val="00966630"/>
    <w:rsid w:val="00971347"/>
    <w:rsid w:val="009744A3"/>
    <w:rsid w:val="0097485F"/>
    <w:rsid w:val="00974998"/>
    <w:rsid w:val="00975136"/>
    <w:rsid w:val="00975358"/>
    <w:rsid w:val="009768A8"/>
    <w:rsid w:val="0098164D"/>
    <w:rsid w:val="00983973"/>
    <w:rsid w:val="00984E13"/>
    <w:rsid w:val="00991DC7"/>
    <w:rsid w:val="00992C05"/>
    <w:rsid w:val="00992D21"/>
    <w:rsid w:val="00993588"/>
    <w:rsid w:val="009A0C84"/>
    <w:rsid w:val="009A2FC6"/>
    <w:rsid w:val="009A6212"/>
    <w:rsid w:val="009A729C"/>
    <w:rsid w:val="009B0BCF"/>
    <w:rsid w:val="009B5A9C"/>
    <w:rsid w:val="009B6605"/>
    <w:rsid w:val="009B6866"/>
    <w:rsid w:val="009B71B1"/>
    <w:rsid w:val="009C4B53"/>
    <w:rsid w:val="009D3DC2"/>
    <w:rsid w:val="009E47DE"/>
    <w:rsid w:val="009E6D5E"/>
    <w:rsid w:val="009E756A"/>
    <w:rsid w:val="009F37A0"/>
    <w:rsid w:val="009F7336"/>
    <w:rsid w:val="00A03AAE"/>
    <w:rsid w:val="00A0721E"/>
    <w:rsid w:val="00A126C2"/>
    <w:rsid w:val="00A17AF6"/>
    <w:rsid w:val="00A20121"/>
    <w:rsid w:val="00A21E38"/>
    <w:rsid w:val="00A300FF"/>
    <w:rsid w:val="00A302B2"/>
    <w:rsid w:val="00A310C8"/>
    <w:rsid w:val="00A33052"/>
    <w:rsid w:val="00A4025F"/>
    <w:rsid w:val="00A47A7A"/>
    <w:rsid w:val="00A50C8C"/>
    <w:rsid w:val="00A51D70"/>
    <w:rsid w:val="00A53731"/>
    <w:rsid w:val="00A56C1B"/>
    <w:rsid w:val="00A578F6"/>
    <w:rsid w:val="00A7057C"/>
    <w:rsid w:val="00A73760"/>
    <w:rsid w:val="00A8204B"/>
    <w:rsid w:val="00A85436"/>
    <w:rsid w:val="00AA08EF"/>
    <w:rsid w:val="00AA0E84"/>
    <w:rsid w:val="00AA174A"/>
    <w:rsid w:val="00AA7D69"/>
    <w:rsid w:val="00AB0A3E"/>
    <w:rsid w:val="00AB27D5"/>
    <w:rsid w:val="00AB4B0A"/>
    <w:rsid w:val="00AC1DA6"/>
    <w:rsid w:val="00AC1F5E"/>
    <w:rsid w:val="00AC380E"/>
    <w:rsid w:val="00AC4A2E"/>
    <w:rsid w:val="00AC4AF4"/>
    <w:rsid w:val="00AC5C73"/>
    <w:rsid w:val="00AC686C"/>
    <w:rsid w:val="00AE0CA7"/>
    <w:rsid w:val="00AE0CC1"/>
    <w:rsid w:val="00AE3C3A"/>
    <w:rsid w:val="00AF1437"/>
    <w:rsid w:val="00AF305D"/>
    <w:rsid w:val="00AF576E"/>
    <w:rsid w:val="00AF67B0"/>
    <w:rsid w:val="00B046A9"/>
    <w:rsid w:val="00B12230"/>
    <w:rsid w:val="00B12B04"/>
    <w:rsid w:val="00B17037"/>
    <w:rsid w:val="00B342D8"/>
    <w:rsid w:val="00B3671D"/>
    <w:rsid w:val="00B40336"/>
    <w:rsid w:val="00B41362"/>
    <w:rsid w:val="00B454D2"/>
    <w:rsid w:val="00B5062A"/>
    <w:rsid w:val="00B50B23"/>
    <w:rsid w:val="00B5264A"/>
    <w:rsid w:val="00B538A8"/>
    <w:rsid w:val="00B57613"/>
    <w:rsid w:val="00B626DC"/>
    <w:rsid w:val="00B66179"/>
    <w:rsid w:val="00B67684"/>
    <w:rsid w:val="00B67D30"/>
    <w:rsid w:val="00B71C8D"/>
    <w:rsid w:val="00B725DF"/>
    <w:rsid w:val="00B751DC"/>
    <w:rsid w:val="00B77BC0"/>
    <w:rsid w:val="00B822EA"/>
    <w:rsid w:val="00B84EAC"/>
    <w:rsid w:val="00B84F30"/>
    <w:rsid w:val="00B87780"/>
    <w:rsid w:val="00B90117"/>
    <w:rsid w:val="00B9549D"/>
    <w:rsid w:val="00BA1C6B"/>
    <w:rsid w:val="00BA359A"/>
    <w:rsid w:val="00BA4495"/>
    <w:rsid w:val="00BB0A4F"/>
    <w:rsid w:val="00BB419D"/>
    <w:rsid w:val="00BC07C2"/>
    <w:rsid w:val="00BC2255"/>
    <w:rsid w:val="00BD16CC"/>
    <w:rsid w:val="00BD21BF"/>
    <w:rsid w:val="00BD4C08"/>
    <w:rsid w:val="00BD55E5"/>
    <w:rsid w:val="00BF0D44"/>
    <w:rsid w:val="00BF4ACC"/>
    <w:rsid w:val="00BF4CA6"/>
    <w:rsid w:val="00BF6507"/>
    <w:rsid w:val="00BF6BEA"/>
    <w:rsid w:val="00C03CC5"/>
    <w:rsid w:val="00C1771D"/>
    <w:rsid w:val="00C20BF0"/>
    <w:rsid w:val="00C238D4"/>
    <w:rsid w:val="00C3420F"/>
    <w:rsid w:val="00C35CF8"/>
    <w:rsid w:val="00C377DC"/>
    <w:rsid w:val="00C37D2E"/>
    <w:rsid w:val="00C45C33"/>
    <w:rsid w:val="00C469EA"/>
    <w:rsid w:val="00C5041C"/>
    <w:rsid w:val="00C51B37"/>
    <w:rsid w:val="00C54BC3"/>
    <w:rsid w:val="00C5706A"/>
    <w:rsid w:val="00C62922"/>
    <w:rsid w:val="00C63EC9"/>
    <w:rsid w:val="00C702C9"/>
    <w:rsid w:val="00C71185"/>
    <w:rsid w:val="00C718D0"/>
    <w:rsid w:val="00C71CF8"/>
    <w:rsid w:val="00C71FD8"/>
    <w:rsid w:val="00C84252"/>
    <w:rsid w:val="00C87F96"/>
    <w:rsid w:val="00C921CF"/>
    <w:rsid w:val="00CA1099"/>
    <w:rsid w:val="00CA2374"/>
    <w:rsid w:val="00CA505B"/>
    <w:rsid w:val="00CA5EC0"/>
    <w:rsid w:val="00CB2AE3"/>
    <w:rsid w:val="00CB3D18"/>
    <w:rsid w:val="00CB5852"/>
    <w:rsid w:val="00CB5F32"/>
    <w:rsid w:val="00CB5FC7"/>
    <w:rsid w:val="00CB7339"/>
    <w:rsid w:val="00CC3774"/>
    <w:rsid w:val="00CC6D08"/>
    <w:rsid w:val="00CC7539"/>
    <w:rsid w:val="00CD2520"/>
    <w:rsid w:val="00CD35A4"/>
    <w:rsid w:val="00CF2806"/>
    <w:rsid w:val="00CF320F"/>
    <w:rsid w:val="00CF3D45"/>
    <w:rsid w:val="00CF4BA4"/>
    <w:rsid w:val="00CF6F8D"/>
    <w:rsid w:val="00D0436B"/>
    <w:rsid w:val="00D05B53"/>
    <w:rsid w:val="00D10305"/>
    <w:rsid w:val="00D12B67"/>
    <w:rsid w:val="00D207A9"/>
    <w:rsid w:val="00D24591"/>
    <w:rsid w:val="00D24C75"/>
    <w:rsid w:val="00D261ED"/>
    <w:rsid w:val="00D26DD6"/>
    <w:rsid w:val="00D3188F"/>
    <w:rsid w:val="00D31BCD"/>
    <w:rsid w:val="00D3317D"/>
    <w:rsid w:val="00D3447F"/>
    <w:rsid w:val="00D36E2F"/>
    <w:rsid w:val="00D407F1"/>
    <w:rsid w:val="00D4259F"/>
    <w:rsid w:val="00D4541B"/>
    <w:rsid w:val="00D5010A"/>
    <w:rsid w:val="00D52960"/>
    <w:rsid w:val="00D529AF"/>
    <w:rsid w:val="00D613C3"/>
    <w:rsid w:val="00D662FB"/>
    <w:rsid w:val="00D67019"/>
    <w:rsid w:val="00D717EB"/>
    <w:rsid w:val="00D72C6E"/>
    <w:rsid w:val="00D7455B"/>
    <w:rsid w:val="00D74BFC"/>
    <w:rsid w:val="00D76A20"/>
    <w:rsid w:val="00D83FC9"/>
    <w:rsid w:val="00D92AF9"/>
    <w:rsid w:val="00D94555"/>
    <w:rsid w:val="00D94E97"/>
    <w:rsid w:val="00DA04C5"/>
    <w:rsid w:val="00DA04D9"/>
    <w:rsid w:val="00DA3196"/>
    <w:rsid w:val="00DA3FE2"/>
    <w:rsid w:val="00DA50AF"/>
    <w:rsid w:val="00DA5230"/>
    <w:rsid w:val="00DB4BEA"/>
    <w:rsid w:val="00DB65B3"/>
    <w:rsid w:val="00DB6E66"/>
    <w:rsid w:val="00DC1788"/>
    <w:rsid w:val="00DC240B"/>
    <w:rsid w:val="00DD21D3"/>
    <w:rsid w:val="00DD2A84"/>
    <w:rsid w:val="00DD30F9"/>
    <w:rsid w:val="00DD40DE"/>
    <w:rsid w:val="00DD638A"/>
    <w:rsid w:val="00DD7462"/>
    <w:rsid w:val="00DE20F9"/>
    <w:rsid w:val="00DE7ACF"/>
    <w:rsid w:val="00DF09F7"/>
    <w:rsid w:val="00E0522B"/>
    <w:rsid w:val="00E06602"/>
    <w:rsid w:val="00E07868"/>
    <w:rsid w:val="00E14610"/>
    <w:rsid w:val="00E14E06"/>
    <w:rsid w:val="00E16F01"/>
    <w:rsid w:val="00E24D9E"/>
    <w:rsid w:val="00E30858"/>
    <w:rsid w:val="00E3384B"/>
    <w:rsid w:val="00E33CEE"/>
    <w:rsid w:val="00E34C29"/>
    <w:rsid w:val="00E531BB"/>
    <w:rsid w:val="00E53BB1"/>
    <w:rsid w:val="00E56522"/>
    <w:rsid w:val="00E57BF7"/>
    <w:rsid w:val="00E868A9"/>
    <w:rsid w:val="00E919A3"/>
    <w:rsid w:val="00E930CD"/>
    <w:rsid w:val="00E94CF3"/>
    <w:rsid w:val="00E97346"/>
    <w:rsid w:val="00E9764A"/>
    <w:rsid w:val="00EA3713"/>
    <w:rsid w:val="00EB1F19"/>
    <w:rsid w:val="00EB2955"/>
    <w:rsid w:val="00EB4365"/>
    <w:rsid w:val="00EB460A"/>
    <w:rsid w:val="00EB5662"/>
    <w:rsid w:val="00EB5978"/>
    <w:rsid w:val="00EC14C2"/>
    <w:rsid w:val="00EC35F2"/>
    <w:rsid w:val="00EC58F1"/>
    <w:rsid w:val="00EC7602"/>
    <w:rsid w:val="00EC7B65"/>
    <w:rsid w:val="00ED207E"/>
    <w:rsid w:val="00ED33A9"/>
    <w:rsid w:val="00ED3ECD"/>
    <w:rsid w:val="00ED744A"/>
    <w:rsid w:val="00EE0B0B"/>
    <w:rsid w:val="00EE0CBB"/>
    <w:rsid w:val="00EE1F3A"/>
    <w:rsid w:val="00EF17FD"/>
    <w:rsid w:val="00EF241B"/>
    <w:rsid w:val="00EF5DAA"/>
    <w:rsid w:val="00F012E6"/>
    <w:rsid w:val="00F16027"/>
    <w:rsid w:val="00F16319"/>
    <w:rsid w:val="00F20D89"/>
    <w:rsid w:val="00F220C8"/>
    <w:rsid w:val="00F249A6"/>
    <w:rsid w:val="00F24AC6"/>
    <w:rsid w:val="00F25FC5"/>
    <w:rsid w:val="00F26459"/>
    <w:rsid w:val="00F26C0A"/>
    <w:rsid w:val="00F31611"/>
    <w:rsid w:val="00F31CA9"/>
    <w:rsid w:val="00F31DDB"/>
    <w:rsid w:val="00F33906"/>
    <w:rsid w:val="00F36F62"/>
    <w:rsid w:val="00F37671"/>
    <w:rsid w:val="00F402F9"/>
    <w:rsid w:val="00F418C6"/>
    <w:rsid w:val="00F55BB1"/>
    <w:rsid w:val="00F57384"/>
    <w:rsid w:val="00F57533"/>
    <w:rsid w:val="00F6105A"/>
    <w:rsid w:val="00F618F0"/>
    <w:rsid w:val="00F62CF7"/>
    <w:rsid w:val="00F62D49"/>
    <w:rsid w:val="00F65F1B"/>
    <w:rsid w:val="00F675A7"/>
    <w:rsid w:val="00F73B2E"/>
    <w:rsid w:val="00F77A33"/>
    <w:rsid w:val="00F96159"/>
    <w:rsid w:val="00F970F5"/>
    <w:rsid w:val="00F9722F"/>
    <w:rsid w:val="00F97BF7"/>
    <w:rsid w:val="00FA2C12"/>
    <w:rsid w:val="00FA3BC5"/>
    <w:rsid w:val="00FB2154"/>
    <w:rsid w:val="00FB3B5F"/>
    <w:rsid w:val="00FB6A02"/>
    <w:rsid w:val="00FB7F98"/>
    <w:rsid w:val="00FC33FD"/>
    <w:rsid w:val="00FC3FF0"/>
    <w:rsid w:val="00FC4072"/>
    <w:rsid w:val="00FC5164"/>
    <w:rsid w:val="00FC6D37"/>
    <w:rsid w:val="00FD340A"/>
    <w:rsid w:val="00FE1554"/>
    <w:rsid w:val="00FE3C15"/>
    <w:rsid w:val="00FE6138"/>
    <w:rsid w:val="00FE7B41"/>
    <w:rsid w:val="00FE7FEE"/>
    <w:rsid w:val="00FF214C"/>
    <w:rsid w:val="00FF4C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383D4"/>
  <w15:chartTrackingRefBased/>
  <w15:docId w15:val="{246CED82-ED63-45EC-9BC9-76B775FB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49"/>
  </w:style>
  <w:style w:type="paragraph" w:styleId="Heading2">
    <w:name w:val="heading 2"/>
    <w:basedOn w:val="ListParagraph"/>
    <w:next w:val="Normal"/>
    <w:link w:val="Heading2Char"/>
    <w:uiPriority w:val="9"/>
    <w:unhideWhenUsed/>
    <w:qFormat/>
    <w:rsid w:val="00E33CEE"/>
    <w:pPr>
      <w:numPr>
        <w:numId w:val="8"/>
      </w:numP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60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List Paragraph1,Bullets,列出段落1"/>
    <w:basedOn w:val="Normal"/>
    <w:link w:val="ListParagraphChar"/>
    <w:uiPriority w:val="34"/>
    <w:qFormat/>
    <w:rsid w:val="00B5062A"/>
    <w:pPr>
      <w:ind w:left="720"/>
      <w:contextualSpacing/>
    </w:pPr>
  </w:style>
  <w:style w:type="character" w:styleId="CommentReference">
    <w:name w:val="annotation reference"/>
    <w:basedOn w:val="DefaultParagraphFont"/>
    <w:uiPriority w:val="99"/>
    <w:semiHidden/>
    <w:unhideWhenUsed/>
    <w:rsid w:val="00C71185"/>
    <w:rPr>
      <w:sz w:val="16"/>
      <w:szCs w:val="16"/>
    </w:rPr>
  </w:style>
  <w:style w:type="paragraph" w:styleId="CommentText">
    <w:name w:val="annotation text"/>
    <w:basedOn w:val="Normal"/>
    <w:link w:val="CommentTextChar"/>
    <w:uiPriority w:val="99"/>
    <w:unhideWhenUsed/>
    <w:rsid w:val="00C71185"/>
    <w:pPr>
      <w:spacing w:line="240" w:lineRule="auto"/>
    </w:pPr>
    <w:rPr>
      <w:sz w:val="20"/>
      <w:szCs w:val="20"/>
    </w:rPr>
  </w:style>
  <w:style w:type="character" w:customStyle="1" w:styleId="CommentTextChar">
    <w:name w:val="Comment Text Char"/>
    <w:basedOn w:val="DefaultParagraphFont"/>
    <w:link w:val="CommentText"/>
    <w:uiPriority w:val="99"/>
    <w:rsid w:val="00C71185"/>
    <w:rPr>
      <w:sz w:val="20"/>
      <w:szCs w:val="20"/>
    </w:rPr>
  </w:style>
  <w:style w:type="paragraph" w:styleId="CommentSubject">
    <w:name w:val="annotation subject"/>
    <w:basedOn w:val="CommentText"/>
    <w:next w:val="CommentText"/>
    <w:link w:val="CommentSubjectChar"/>
    <w:uiPriority w:val="99"/>
    <w:semiHidden/>
    <w:unhideWhenUsed/>
    <w:rsid w:val="00C71185"/>
    <w:rPr>
      <w:b/>
      <w:bCs/>
    </w:rPr>
  </w:style>
  <w:style w:type="character" w:customStyle="1" w:styleId="CommentSubjectChar">
    <w:name w:val="Comment Subject Char"/>
    <w:basedOn w:val="CommentTextChar"/>
    <w:link w:val="CommentSubject"/>
    <w:uiPriority w:val="99"/>
    <w:semiHidden/>
    <w:rsid w:val="00C71185"/>
    <w:rPr>
      <w:b/>
      <w:bCs/>
      <w:sz w:val="20"/>
      <w:szCs w:val="20"/>
    </w:rPr>
  </w:style>
  <w:style w:type="paragraph" w:customStyle="1" w:styleId="Default">
    <w:name w:val="Default"/>
    <w:basedOn w:val="Normal"/>
    <w:rsid w:val="00975358"/>
    <w:pPr>
      <w:autoSpaceDE w:val="0"/>
      <w:autoSpaceDN w:val="0"/>
      <w:spacing w:after="0" w:line="240" w:lineRule="auto"/>
    </w:pPr>
    <w:rPr>
      <w:rFonts w:ascii="Century Schoolbook" w:hAnsi="Century Schoolbook" w:cs="Calibri"/>
      <w:color w:val="000000"/>
      <w:sz w:val="24"/>
      <w:szCs w:val="24"/>
      <w:lang w:eastAsia="fr-FR"/>
    </w:rPr>
  </w:style>
  <w:style w:type="paragraph" w:styleId="Header">
    <w:name w:val="header"/>
    <w:basedOn w:val="Normal"/>
    <w:link w:val="HeaderChar"/>
    <w:uiPriority w:val="99"/>
    <w:unhideWhenUsed/>
    <w:rsid w:val="002B66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667D"/>
  </w:style>
  <w:style w:type="paragraph" w:styleId="Footer">
    <w:name w:val="footer"/>
    <w:basedOn w:val="Normal"/>
    <w:link w:val="FooterChar"/>
    <w:uiPriority w:val="99"/>
    <w:unhideWhenUsed/>
    <w:rsid w:val="002B66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67D"/>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uiPriority w:val="34"/>
    <w:qFormat/>
    <w:locked/>
    <w:rsid w:val="006B6CF4"/>
  </w:style>
  <w:style w:type="character" w:customStyle="1" w:styleId="Heading2Char">
    <w:name w:val="Heading 2 Char"/>
    <w:basedOn w:val="DefaultParagraphFont"/>
    <w:link w:val="Heading2"/>
    <w:uiPriority w:val="9"/>
    <w:rsid w:val="00E33CEE"/>
    <w:rPr>
      <w:b/>
      <w:bCs/>
      <w:color w:val="000000"/>
    </w:rPr>
  </w:style>
  <w:style w:type="table" w:customStyle="1" w:styleId="TableGrid1">
    <w:name w:val="Table Grid1"/>
    <w:basedOn w:val="TableNormal"/>
    <w:uiPriority w:val="39"/>
    <w:rsid w:val="00E33CE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3CE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CA9"/>
    <w:rPr>
      <w:rFonts w:ascii="Segoe UI" w:hAnsi="Segoe UI" w:cs="Segoe UI"/>
      <w:sz w:val="18"/>
      <w:szCs w:val="18"/>
    </w:rPr>
  </w:style>
  <w:style w:type="paragraph" w:customStyle="1" w:styleId="xmsolistparagraph">
    <w:name w:val="x_msolistparagraph"/>
    <w:basedOn w:val="Normal"/>
    <w:rsid w:val="005361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rsid w:val="005361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vision">
    <w:name w:val="Revision"/>
    <w:hidden/>
    <w:uiPriority w:val="99"/>
    <w:semiHidden/>
    <w:rsid w:val="00F62D49"/>
    <w:pPr>
      <w:spacing w:after="0" w:line="240" w:lineRule="auto"/>
    </w:pPr>
  </w:style>
  <w:style w:type="character" w:styleId="Hyperlink">
    <w:name w:val="Hyperlink"/>
    <w:basedOn w:val="DefaultParagraphFont"/>
    <w:uiPriority w:val="99"/>
    <w:unhideWhenUsed/>
    <w:rsid w:val="000042EB"/>
    <w:rPr>
      <w:color w:val="0000FF"/>
      <w:u w:val="single"/>
    </w:rPr>
  </w:style>
  <w:style w:type="character" w:customStyle="1" w:styleId="Mentionnonrsolue1">
    <w:name w:val="Mention non résolue1"/>
    <w:basedOn w:val="DefaultParagraphFont"/>
    <w:uiPriority w:val="99"/>
    <w:semiHidden/>
    <w:unhideWhenUsed/>
    <w:rsid w:val="002B5C26"/>
    <w:rPr>
      <w:color w:val="605E5C"/>
      <w:shd w:val="clear" w:color="auto" w:fill="E1DFDD"/>
    </w:rPr>
  </w:style>
  <w:style w:type="paragraph" w:styleId="NoSpacing">
    <w:name w:val="No Spacing"/>
    <w:uiPriority w:val="1"/>
    <w:qFormat/>
    <w:rsid w:val="00484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0204">
      <w:bodyDiv w:val="1"/>
      <w:marLeft w:val="0"/>
      <w:marRight w:val="0"/>
      <w:marTop w:val="0"/>
      <w:marBottom w:val="0"/>
      <w:divBdr>
        <w:top w:val="none" w:sz="0" w:space="0" w:color="auto"/>
        <w:left w:val="none" w:sz="0" w:space="0" w:color="auto"/>
        <w:bottom w:val="none" w:sz="0" w:space="0" w:color="auto"/>
        <w:right w:val="none" w:sz="0" w:space="0" w:color="auto"/>
      </w:divBdr>
    </w:div>
    <w:div w:id="311450156">
      <w:bodyDiv w:val="1"/>
      <w:marLeft w:val="0"/>
      <w:marRight w:val="0"/>
      <w:marTop w:val="0"/>
      <w:marBottom w:val="0"/>
      <w:divBdr>
        <w:top w:val="none" w:sz="0" w:space="0" w:color="auto"/>
        <w:left w:val="none" w:sz="0" w:space="0" w:color="auto"/>
        <w:bottom w:val="none" w:sz="0" w:space="0" w:color="auto"/>
        <w:right w:val="none" w:sz="0" w:space="0" w:color="auto"/>
      </w:divBdr>
    </w:div>
    <w:div w:id="880441161">
      <w:bodyDiv w:val="1"/>
      <w:marLeft w:val="0"/>
      <w:marRight w:val="0"/>
      <w:marTop w:val="0"/>
      <w:marBottom w:val="0"/>
      <w:divBdr>
        <w:top w:val="none" w:sz="0" w:space="0" w:color="auto"/>
        <w:left w:val="none" w:sz="0" w:space="0" w:color="auto"/>
        <w:bottom w:val="none" w:sz="0" w:space="0" w:color="auto"/>
        <w:right w:val="none" w:sz="0" w:space="0" w:color="auto"/>
      </w:divBdr>
    </w:div>
    <w:div w:id="1004552237">
      <w:bodyDiv w:val="1"/>
      <w:marLeft w:val="0"/>
      <w:marRight w:val="0"/>
      <w:marTop w:val="0"/>
      <w:marBottom w:val="0"/>
      <w:divBdr>
        <w:top w:val="none" w:sz="0" w:space="0" w:color="auto"/>
        <w:left w:val="none" w:sz="0" w:space="0" w:color="auto"/>
        <w:bottom w:val="none" w:sz="0" w:space="0" w:color="auto"/>
        <w:right w:val="none" w:sz="0" w:space="0" w:color="auto"/>
      </w:divBdr>
    </w:div>
    <w:div w:id="1273055342">
      <w:bodyDiv w:val="1"/>
      <w:marLeft w:val="0"/>
      <w:marRight w:val="0"/>
      <w:marTop w:val="0"/>
      <w:marBottom w:val="0"/>
      <w:divBdr>
        <w:top w:val="none" w:sz="0" w:space="0" w:color="auto"/>
        <w:left w:val="none" w:sz="0" w:space="0" w:color="auto"/>
        <w:bottom w:val="none" w:sz="0" w:space="0" w:color="auto"/>
        <w:right w:val="none" w:sz="0" w:space="0" w:color="auto"/>
      </w:divBdr>
    </w:div>
    <w:div w:id="1332486954">
      <w:bodyDiv w:val="1"/>
      <w:marLeft w:val="0"/>
      <w:marRight w:val="0"/>
      <w:marTop w:val="0"/>
      <w:marBottom w:val="0"/>
      <w:divBdr>
        <w:top w:val="none" w:sz="0" w:space="0" w:color="auto"/>
        <w:left w:val="none" w:sz="0" w:space="0" w:color="auto"/>
        <w:bottom w:val="none" w:sz="0" w:space="0" w:color="auto"/>
        <w:right w:val="none" w:sz="0" w:space="0" w:color="auto"/>
      </w:divBdr>
    </w:div>
    <w:div w:id="1369067439">
      <w:bodyDiv w:val="1"/>
      <w:marLeft w:val="0"/>
      <w:marRight w:val="0"/>
      <w:marTop w:val="0"/>
      <w:marBottom w:val="0"/>
      <w:divBdr>
        <w:top w:val="none" w:sz="0" w:space="0" w:color="auto"/>
        <w:left w:val="none" w:sz="0" w:space="0" w:color="auto"/>
        <w:bottom w:val="none" w:sz="0" w:space="0" w:color="auto"/>
        <w:right w:val="none" w:sz="0" w:space="0" w:color="auto"/>
      </w:divBdr>
    </w:div>
    <w:div w:id="1772163441">
      <w:bodyDiv w:val="1"/>
      <w:marLeft w:val="0"/>
      <w:marRight w:val="0"/>
      <w:marTop w:val="0"/>
      <w:marBottom w:val="0"/>
      <w:divBdr>
        <w:top w:val="none" w:sz="0" w:space="0" w:color="auto"/>
        <w:left w:val="none" w:sz="0" w:space="0" w:color="auto"/>
        <w:bottom w:val="none" w:sz="0" w:space="0" w:color="auto"/>
        <w:right w:val="none" w:sz="0" w:space="0" w:color="auto"/>
      </w:divBdr>
    </w:div>
    <w:div w:id="1900898150">
      <w:bodyDiv w:val="1"/>
      <w:marLeft w:val="0"/>
      <w:marRight w:val="0"/>
      <w:marTop w:val="0"/>
      <w:marBottom w:val="0"/>
      <w:divBdr>
        <w:top w:val="none" w:sz="0" w:space="0" w:color="auto"/>
        <w:left w:val="none" w:sz="0" w:space="0" w:color="auto"/>
        <w:bottom w:val="none" w:sz="0" w:space="0" w:color="auto"/>
        <w:right w:val="none" w:sz="0" w:space="0" w:color="auto"/>
      </w:divBdr>
      <w:divsChild>
        <w:div w:id="1751081547">
          <w:marLeft w:val="0"/>
          <w:marRight w:val="0"/>
          <w:marTop w:val="200"/>
          <w:marBottom w:val="0"/>
          <w:divBdr>
            <w:top w:val="none" w:sz="0" w:space="0" w:color="auto"/>
            <w:left w:val="none" w:sz="0" w:space="0" w:color="auto"/>
            <w:bottom w:val="none" w:sz="0" w:space="0" w:color="auto"/>
            <w:right w:val="none" w:sz="0" w:space="0" w:color="auto"/>
          </w:divBdr>
        </w:div>
        <w:div w:id="7876070">
          <w:marLeft w:val="0"/>
          <w:marRight w:val="0"/>
          <w:marTop w:val="200"/>
          <w:marBottom w:val="0"/>
          <w:divBdr>
            <w:top w:val="none" w:sz="0" w:space="0" w:color="auto"/>
            <w:left w:val="none" w:sz="0" w:space="0" w:color="auto"/>
            <w:bottom w:val="none" w:sz="0" w:space="0" w:color="auto"/>
            <w:right w:val="none" w:sz="0" w:space="0" w:color="auto"/>
          </w:divBdr>
        </w:div>
        <w:div w:id="291636574">
          <w:marLeft w:val="0"/>
          <w:marRight w:val="0"/>
          <w:marTop w:val="200"/>
          <w:marBottom w:val="0"/>
          <w:divBdr>
            <w:top w:val="none" w:sz="0" w:space="0" w:color="auto"/>
            <w:left w:val="none" w:sz="0" w:space="0" w:color="auto"/>
            <w:bottom w:val="none" w:sz="0" w:space="0" w:color="auto"/>
            <w:right w:val="none" w:sz="0" w:space="0" w:color="auto"/>
          </w:divBdr>
        </w:div>
        <w:div w:id="2138717778">
          <w:marLeft w:val="0"/>
          <w:marRight w:val="0"/>
          <w:marTop w:val="200"/>
          <w:marBottom w:val="0"/>
          <w:divBdr>
            <w:top w:val="none" w:sz="0" w:space="0" w:color="auto"/>
            <w:left w:val="none" w:sz="0" w:space="0" w:color="auto"/>
            <w:bottom w:val="none" w:sz="0" w:space="0" w:color="auto"/>
            <w:right w:val="none" w:sz="0" w:space="0" w:color="auto"/>
          </w:divBdr>
        </w:div>
      </w:divsChild>
    </w:div>
    <w:div w:id="2075661802">
      <w:bodyDiv w:val="1"/>
      <w:marLeft w:val="0"/>
      <w:marRight w:val="0"/>
      <w:marTop w:val="0"/>
      <w:marBottom w:val="0"/>
      <w:divBdr>
        <w:top w:val="none" w:sz="0" w:space="0" w:color="auto"/>
        <w:left w:val="none" w:sz="0" w:space="0" w:color="auto"/>
        <w:bottom w:val="none" w:sz="0" w:space="0" w:color="auto"/>
        <w:right w:val="none" w:sz="0" w:space="0" w:color="auto"/>
      </w:divBdr>
      <w:divsChild>
        <w:div w:id="1072433955">
          <w:marLeft w:val="0"/>
          <w:marRight w:val="0"/>
          <w:marTop w:val="200"/>
          <w:marBottom w:val="0"/>
          <w:divBdr>
            <w:top w:val="none" w:sz="0" w:space="0" w:color="auto"/>
            <w:left w:val="none" w:sz="0" w:space="0" w:color="auto"/>
            <w:bottom w:val="none" w:sz="0" w:space="0" w:color="auto"/>
            <w:right w:val="none" w:sz="0" w:space="0" w:color="auto"/>
          </w:divBdr>
        </w:div>
        <w:div w:id="1970234806">
          <w:marLeft w:val="0"/>
          <w:marRight w:val="0"/>
          <w:marTop w:val="200"/>
          <w:marBottom w:val="0"/>
          <w:divBdr>
            <w:top w:val="none" w:sz="0" w:space="0" w:color="auto"/>
            <w:left w:val="none" w:sz="0" w:space="0" w:color="auto"/>
            <w:bottom w:val="none" w:sz="0" w:space="0" w:color="auto"/>
            <w:right w:val="none" w:sz="0" w:space="0" w:color="auto"/>
          </w:divBdr>
        </w:div>
        <w:div w:id="1299842418">
          <w:marLeft w:val="0"/>
          <w:marRight w:val="0"/>
          <w:marTop w:val="200"/>
          <w:marBottom w:val="0"/>
          <w:divBdr>
            <w:top w:val="none" w:sz="0" w:space="0" w:color="auto"/>
            <w:left w:val="none" w:sz="0" w:space="0" w:color="auto"/>
            <w:bottom w:val="none" w:sz="0" w:space="0" w:color="auto"/>
            <w:right w:val="none" w:sz="0" w:space="0" w:color="auto"/>
          </w:divBdr>
        </w:div>
        <w:div w:id="960764009">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321A0-6678-4B9C-92B5-321A9B74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4818</Words>
  <Characters>26308</Characters>
  <Application>Microsoft Office Word</Application>
  <DocSecurity>0</DocSecurity>
  <Lines>404</Lines>
  <Paragraphs>166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30960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3</cp:revision>
  <cp:lastPrinted>2021-09-02T08:56:00Z</cp:lastPrinted>
  <dcterms:created xsi:type="dcterms:W3CDTF">2021-09-16T14:42:00Z</dcterms:created>
  <dcterms:modified xsi:type="dcterms:W3CDTF">2022-04-05T19:14:00Z</dcterms:modified>
  <cp:category/>
</cp:coreProperties>
</file>